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2E6" w:rsidRDefault="001F6FCF">
      <w:pPr>
        <w:spacing w:line="311" w:lineRule="exact"/>
        <w:rPr>
          <w:rFonts w:hint="default"/>
        </w:rPr>
      </w:pPr>
      <w:bookmarkStart w:id="0" w:name="_GoBack"/>
      <w:bookmarkEnd w:id="0"/>
      <w:r>
        <w:rPr>
          <w:rFonts w:ascii="ＭＳ ゴシック" w:eastAsia="ＭＳ ゴシック" w:hAnsi="ＭＳ ゴシック"/>
          <w:sz w:val="28"/>
        </w:rPr>
        <w:t>６　研修・人材育成</w:t>
      </w:r>
    </w:p>
    <w:p w:rsidR="006902E6" w:rsidRDefault="006902E6">
      <w:pPr>
        <w:spacing w:line="251" w:lineRule="exact"/>
        <w:rPr>
          <w:rFonts w:hint="default"/>
        </w:rPr>
      </w:pPr>
    </w:p>
    <w:p w:rsidR="006902E6" w:rsidRDefault="001F6FCF">
      <w:pPr>
        <w:spacing w:line="271" w:lineRule="exact"/>
        <w:rPr>
          <w:rFonts w:ascii="ＭＳ ゴシック" w:eastAsia="ＭＳ ゴシック" w:hAnsi="ＭＳ ゴシック" w:hint="default"/>
          <w:sz w:val="24"/>
        </w:rPr>
      </w:pPr>
      <w:r>
        <w:rPr>
          <w:rFonts w:ascii="ＭＳ ゴシック" w:eastAsia="ＭＳ ゴシック" w:hAnsi="ＭＳ ゴシック"/>
          <w:sz w:val="24"/>
        </w:rPr>
        <w:t>（１）研修・人材育成に係る基本方針</w:t>
      </w:r>
    </w:p>
    <w:p w:rsidR="001F6FCF" w:rsidRDefault="001F6FCF">
      <w:pPr>
        <w:spacing w:line="271" w:lineRule="exact"/>
        <w:rPr>
          <w:rFonts w:hint="default"/>
        </w:rPr>
      </w:pPr>
    </w:p>
    <w:tbl>
      <w:tblPr>
        <w:tblW w:w="0" w:type="auto"/>
        <w:tblInd w:w="-93" w:type="dxa"/>
        <w:tblLayout w:type="fixed"/>
        <w:tblCellMar>
          <w:left w:w="0" w:type="dxa"/>
          <w:right w:w="0" w:type="dxa"/>
        </w:tblCellMar>
        <w:tblLook w:val="0000" w:firstRow="0" w:lastRow="0" w:firstColumn="0" w:lastColumn="0" w:noHBand="0" w:noVBand="0"/>
      </w:tblPr>
      <w:tblGrid>
        <w:gridCol w:w="14176"/>
      </w:tblGrid>
      <w:tr w:rsidR="006902E6" w:rsidTr="001F6FCF">
        <w:trPr>
          <w:trHeight w:val="7528"/>
        </w:trPr>
        <w:tc>
          <w:tcPr>
            <w:tcW w:w="14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2E6" w:rsidRDefault="001F6FCF">
            <w:pPr>
              <w:spacing w:line="251" w:lineRule="exact"/>
              <w:rPr>
                <w:rFonts w:hint="default"/>
              </w:rPr>
            </w:pPr>
            <w:r>
              <w:t>（記載例）</w:t>
            </w:r>
          </w:p>
          <w:p w:rsidR="006902E6" w:rsidRDefault="001F6FCF">
            <w:pPr>
              <w:spacing w:line="251" w:lineRule="exact"/>
              <w:ind w:firstLine="111"/>
              <w:rPr>
                <w:rFonts w:hint="default"/>
              </w:rPr>
            </w:pPr>
            <w:r>
              <w:t>○ 統合整備推進に関する研修</w:t>
            </w:r>
          </w:p>
          <w:p w:rsidR="006902E6" w:rsidRDefault="001F6FCF">
            <w:pPr>
              <w:spacing w:line="251" w:lineRule="exact"/>
              <w:ind w:left="222" w:firstLine="222"/>
              <w:rPr>
                <w:rFonts w:hint="default"/>
              </w:rPr>
            </w:pPr>
            <w:r>
              <w:t>本土地改良区は、隣接する○○土地改良区と平成○○年をメドに合併することについて検討を進めることとしている。合併に向けた検討を進めるにあたっては、役職員が○○（例：合併協議の体制構築・進め方や合併推進に係る諸課題・懸念事項への対応等）についての基礎的、専門的知識を習得する必要がある。このため、連合会等が主催する統合整備の推進に関する研修等に役職員を派遣し、必要な知識の習得に努めることとする。（必要に応じて、「○○年○○研修に役職員○○名を派遣予定」、「○○年まで毎年、○○名以上を○○研修に派遣」等具体的な計画を記載）</w:t>
            </w:r>
          </w:p>
          <w:p w:rsidR="006902E6" w:rsidRDefault="006902E6">
            <w:pPr>
              <w:spacing w:line="251" w:lineRule="exact"/>
              <w:ind w:firstLine="111"/>
              <w:rPr>
                <w:rFonts w:hint="default"/>
              </w:rPr>
            </w:pPr>
          </w:p>
          <w:p w:rsidR="006902E6" w:rsidRDefault="001F6FCF">
            <w:pPr>
              <w:spacing w:line="251" w:lineRule="exact"/>
              <w:ind w:firstLine="111"/>
              <w:rPr>
                <w:rFonts w:hint="default"/>
              </w:rPr>
            </w:pPr>
            <w:r>
              <w:t>○ 土地改良施設の維持管理に関する研修</w:t>
            </w:r>
          </w:p>
          <w:p w:rsidR="006902E6" w:rsidRDefault="001F6FCF">
            <w:pPr>
              <w:spacing w:line="251" w:lineRule="exact"/>
              <w:ind w:left="222" w:firstLine="222"/>
              <w:rPr>
                <w:rFonts w:hint="default"/>
              </w:rPr>
            </w:pPr>
            <w:r>
              <w:t>本土地改良区は○○等の土地改良施設を管理しているが、これらの施設の○○（例：老朽化等）が課題となっている。これらの課題に対応し、的確かつ効率的な保全管理を推進するためには、日常管理における点検、操作等及び点検結果に基づく定期的な整備補修等を適切に実施するために必要な基礎的、専門的知識を習得する必要がある。このため、連合会等が主催する土地改良施設の維持管理に関する研修に役職員を派遣し、必要な知識の習得に努めることとする。（必要に応じて、「○○年○○研修に役職員○○名を派遣予定」、「○○年まで毎年○○名以上を○○研修に派遣」等具体的な計画を記載）</w:t>
            </w:r>
          </w:p>
          <w:p w:rsidR="006902E6" w:rsidRDefault="006902E6">
            <w:pPr>
              <w:spacing w:line="251" w:lineRule="exact"/>
              <w:ind w:left="222" w:firstLine="222"/>
              <w:rPr>
                <w:rFonts w:hint="default"/>
              </w:rPr>
            </w:pPr>
          </w:p>
          <w:p w:rsidR="006902E6" w:rsidRDefault="001F6FCF">
            <w:pPr>
              <w:spacing w:line="251" w:lineRule="exact"/>
              <w:ind w:firstLine="111"/>
              <w:rPr>
                <w:rFonts w:hint="default"/>
              </w:rPr>
            </w:pPr>
            <w:r>
              <w:t>○ 会計・複式簿記研修</w:t>
            </w:r>
          </w:p>
          <w:p w:rsidR="006902E6" w:rsidRDefault="001F6FCF">
            <w:pPr>
              <w:spacing w:line="251" w:lineRule="exact"/>
              <w:ind w:left="222" w:firstLine="222"/>
              <w:rPr>
                <w:rFonts w:hint="default"/>
              </w:rPr>
            </w:pPr>
            <w:r>
              <w:t>財務状況の明確化・透明化を図るため、複式簿記や外部監査の導入を計画していることから、役職員がこれらの基礎的な知識と実務を習得するため、連合会主催の研修会等に参加する。また、非補助土地改良事業を計画しており、事業実施手続や融資制度の習得に努める。</w:t>
            </w:r>
          </w:p>
          <w:p w:rsidR="006902E6" w:rsidRDefault="006902E6">
            <w:pPr>
              <w:spacing w:line="251" w:lineRule="exact"/>
              <w:ind w:left="333" w:firstLine="111"/>
              <w:rPr>
                <w:rFonts w:hint="default"/>
              </w:rPr>
            </w:pPr>
          </w:p>
          <w:p w:rsidR="006902E6" w:rsidRDefault="001F6FCF">
            <w:pPr>
              <w:spacing w:line="251" w:lineRule="exact"/>
              <w:ind w:firstLine="111"/>
              <w:rPr>
                <w:rFonts w:hint="default"/>
              </w:rPr>
            </w:pPr>
            <w:r>
              <w:t>○ 換地処分研修</w:t>
            </w:r>
          </w:p>
          <w:p w:rsidR="006902E6" w:rsidRDefault="001F6FCF">
            <w:pPr>
              <w:spacing w:line="251" w:lineRule="exact"/>
              <w:ind w:left="333" w:firstLine="222"/>
              <w:rPr>
                <w:rFonts w:hint="default"/>
              </w:rPr>
            </w:pPr>
            <w:r>
              <w:t>換地処分遅延地区の解消に向けて、関係機関との連携・調整や各種制度の活用について検討することとしているが、遅延の原因は複雑かつ長期にわたっていることから各種対応策を検討する必要がある。</w:t>
            </w:r>
          </w:p>
          <w:p w:rsidR="006902E6" w:rsidRDefault="001F6FCF">
            <w:pPr>
              <w:spacing w:line="251" w:lineRule="exact"/>
              <w:ind w:left="333" w:firstLine="222"/>
              <w:rPr>
                <w:rFonts w:hint="default"/>
              </w:rPr>
            </w:pPr>
            <w:r>
              <w:t>また、対応方策検討に併せて、県土連等が主催する異議紛争を協議する研修会へ参加することにより、県内及び近県の他地域で解決を図った類似事例等を把握し、遅延地区の解消に努めることとする。</w:t>
            </w:r>
          </w:p>
          <w:p w:rsidR="006902E6" w:rsidRDefault="006902E6">
            <w:pPr>
              <w:spacing w:line="251" w:lineRule="exact"/>
              <w:rPr>
                <w:rFonts w:hint="default"/>
              </w:rPr>
            </w:pPr>
          </w:p>
          <w:p w:rsidR="006902E6" w:rsidRDefault="001F6FCF">
            <w:pPr>
              <w:spacing w:line="251" w:lineRule="exact"/>
              <w:ind w:firstLine="111"/>
              <w:rPr>
                <w:rFonts w:hint="default"/>
              </w:rPr>
            </w:pPr>
            <w:r>
              <w:t>○ 換地技術者育成</w:t>
            </w:r>
          </w:p>
          <w:p w:rsidR="00650AE3" w:rsidRPr="00650AE3" w:rsidRDefault="001F6FCF" w:rsidP="00650AE3">
            <w:pPr>
              <w:spacing w:line="251" w:lineRule="exact"/>
              <w:ind w:left="333" w:firstLine="222"/>
              <w:rPr>
                <w:rFonts w:hint="default"/>
              </w:rPr>
            </w:pPr>
            <w:r>
              <w:t>本土地改良区には、土地改良換地士が在籍しておらず、必要に応じて県土連等からの助言・指導を受けているところである。本地区では、近くほ場整備事業の実施を予定しており、換地委員等の選任及び換地計画作成に当たっての合意形成には、土地改良区における換地業務に関する知識を有する者の存在が不可欠となる。このため、県土連等が主催する換地技術の向上に関する研修に職員を派遣し、換地業務に関する知識の習得に努めることとする。</w:t>
            </w:r>
          </w:p>
        </w:tc>
      </w:tr>
    </w:tbl>
    <w:p w:rsidR="006902E6" w:rsidRDefault="006902E6" w:rsidP="001F6FCF">
      <w:pPr>
        <w:rPr>
          <w:rFonts w:hint="default"/>
        </w:rPr>
      </w:pPr>
    </w:p>
    <w:sectPr w:rsidR="006902E6">
      <w:footnotePr>
        <w:numRestart w:val="eachPage"/>
      </w:footnotePr>
      <w:endnotePr>
        <w:numFmt w:val="decimal"/>
      </w:endnotePr>
      <w:pgSz w:w="16838" w:h="11906" w:orient="landscape"/>
      <w:pgMar w:top="1417" w:right="1417" w:bottom="1417" w:left="1417" w:header="233" w:footer="0" w:gutter="0"/>
      <w:cols w:space="720"/>
      <w:docGrid w:type="linesAndChars" w:linePitch="251" w:charSpace="4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2E6" w:rsidRDefault="001F6FCF">
      <w:pPr>
        <w:spacing w:before="347"/>
        <w:rPr>
          <w:rFonts w:hint="default"/>
        </w:rPr>
      </w:pPr>
      <w:r>
        <w:continuationSeparator/>
      </w:r>
    </w:p>
  </w:endnote>
  <w:endnote w:type="continuationSeparator" w:id="0">
    <w:p w:rsidR="006902E6" w:rsidRDefault="001F6FC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2E6" w:rsidRDefault="001F6FCF">
      <w:pPr>
        <w:spacing w:before="347"/>
        <w:rPr>
          <w:rFonts w:hint="default"/>
        </w:rPr>
      </w:pPr>
      <w:r>
        <w:continuationSeparator/>
      </w:r>
    </w:p>
  </w:footnote>
  <w:footnote w:type="continuationSeparator" w:id="0">
    <w:p w:rsidR="006902E6" w:rsidRDefault="001F6FC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89"/>
  <w:hyphenationZone w:val="0"/>
  <w:drawingGridHorizontalSpacing w:val="392"/>
  <w:drawingGridVerticalSpacing w:val="25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2E6"/>
    <w:rsid w:val="001F6FCF"/>
    <w:rsid w:val="0049335F"/>
    <w:rsid w:val="00650AE3"/>
    <w:rsid w:val="00690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35F"/>
    <w:pPr>
      <w:tabs>
        <w:tab w:val="center" w:pos="4252"/>
        <w:tab w:val="right" w:pos="8504"/>
      </w:tabs>
      <w:snapToGrid w:val="0"/>
    </w:pPr>
  </w:style>
  <w:style w:type="character" w:customStyle="1" w:styleId="a4">
    <w:name w:val="ヘッダー (文字)"/>
    <w:basedOn w:val="a0"/>
    <w:link w:val="a3"/>
    <w:uiPriority w:val="99"/>
    <w:rsid w:val="0049335F"/>
    <w:rPr>
      <w:color w:val="000000"/>
      <w:sz w:val="22"/>
    </w:rPr>
  </w:style>
  <w:style w:type="paragraph" w:styleId="a5">
    <w:name w:val="footer"/>
    <w:basedOn w:val="a"/>
    <w:link w:val="a6"/>
    <w:uiPriority w:val="99"/>
    <w:unhideWhenUsed/>
    <w:rsid w:val="0049335F"/>
    <w:pPr>
      <w:tabs>
        <w:tab w:val="center" w:pos="4252"/>
        <w:tab w:val="right" w:pos="8504"/>
      </w:tabs>
      <w:snapToGrid w:val="0"/>
    </w:pPr>
  </w:style>
  <w:style w:type="character" w:customStyle="1" w:styleId="a6">
    <w:name w:val="フッター (文字)"/>
    <w:basedOn w:val="a0"/>
    <w:link w:val="a5"/>
    <w:uiPriority w:val="99"/>
    <w:rsid w:val="0049335F"/>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35F"/>
    <w:pPr>
      <w:tabs>
        <w:tab w:val="center" w:pos="4252"/>
        <w:tab w:val="right" w:pos="8504"/>
      </w:tabs>
      <w:snapToGrid w:val="0"/>
    </w:pPr>
  </w:style>
  <w:style w:type="character" w:customStyle="1" w:styleId="a4">
    <w:name w:val="ヘッダー (文字)"/>
    <w:basedOn w:val="a0"/>
    <w:link w:val="a3"/>
    <w:uiPriority w:val="99"/>
    <w:rsid w:val="0049335F"/>
    <w:rPr>
      <w:color w:val="000000"/>
      <w:sz w:val="22"/>
    </w:rPr>
  </w:style>
  <w:style w:type="paragraph" w:styleId="a5">
    <w:name w:val="footer"/>
    <w:basedOn w:val="a"/>
    <w:link w:val="a6"/>
    <w:uiPriority w:val="99"/>
    <w:unhideWhenUsed/>
    <w:rsid w:val="0049335F"/>
    <w:pPr>
      <w:tabs>
        <w:tab w:val="center" w:pos="4252"/>
        <w:tab w:val="right" w:pos="8504"/>
      </w:tabs>
      <w:snapToGrid w:val="0"/>
    </w:pPr>
  </w:style>
  <w:style w:type="character" w:customStyle="1" w:styleId="a6">
    <w:name w:val="フッター (文字)"/>
    <w:basedOn w:val="a0"/>
    <w:link w:val="a5"/>
    <w:uiPriority w:val="99"/>
    <w:rsid w:val="0049335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中国四国農政局</dc:creator>
  <cp:lastModifiedBy>中国四国農政局</cp:lastModifiedBy>
  <cp:revision>2</cp:revision>
  <cp:lastPrinted>2016-02-29T06:40:00Z</cp:lastPrinted>
  <dcterms:created xsi:type="dcterms:W3CDTF">2016-02-29T07:04:00Z</dcterms:created>
  <dcterms:modified xsi:type="dcterms:W3CDTF">2016-02-29T07:04:00Z</dcterms:modified>
</cp:coreProperties>
</file>