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jc w:val="center"/>
        <w:rPr>
          <w:rFonts w:ascii="ＭＳ 明朝" w:cstheme="minorBidi"/>
        </w:rPr>
      </w:pPr>
      <w:r>
        <w:rPr>
          <w:rFonts w:ascii="ＭＳ 明朝" w:eastAsia="HG丸ｺﾞｼｯｸM-PRO" w:cs="HG丸ｺﾞｼｯｸM-PRO" w:hint="eastAsia"/>
          <w:sz w:val="56"/>
          <w:szCs w:val="56"/>
        </w:rPr>
        <w:t>標　準　作　業　書（例）</w:t>
      </w:r>
    </w:p>
    <w:p w:rsidR="00C60C50" w:rsidRDefault="00C60C50" w:rsidP="00C60C50">
      <w:pPr>
        <w:rPr>
          <w:rFonts w:ascii="ＭＳ 明朝" w:cstheme="minorBidi"/>
        </w:rPr>
      </w:pPr>
    </w:p>
    <w:p w:rsidR="00C60C50" w:rsidRDefault="00C60C50" w:rsidP="00C60C50">
      <w:pPr>
        <w:jc w:val="center"/>
        <w:rPr>
          <w:rFonts w:ascii="ＭＳ 明朝" w:cstheme="minorBidi"/>
        </w:rPr>
      </w:pPr>
      <w:r>
        <w:rPr>
          <w:rFonts w:ascii="ＭＳ 明朝" w:eastAsia="HG丸ｺﾞｼｯｸM-PRO" w:cs="HG丸ｺﾞｼｯｸM-PRO" w:hint="eastAsia"/>
          <w:sz w:val="40"/>
          <w:szCs w:val="40"/>
        </w:rPr>
        <w:t>（破　砕　業）</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61"/>
      </w:tblGrid>
      <w:tr w:rsidR="00C60C50" w:rsidTr="005C6BEB">
        <w:tblPrEx>
          <w:tblCellMar>
            <w:top w:w="0" w:type="dxa"/>
            <w:bottom w:w="0" w:type="dxa"/>
          </w:tblCellMar>
        </w:tblPrEx>
        <w:trPr>
          <w:trHeight w:val="1288"/>
        </w:trPr>
        <w:tc>
          <w:tcPr>
            <w:tcW w:w="7161"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ＭＳ 明朝" w:eastAsia="HG丸ｺﾞｼｯｸM-PRO" w:cs="HG丸ｺﾞｼｯｸM-PRO" w:hint="eastAsia"/>
                <w:sz w:val="30"/>
                <w:szCs w:val="30"/>
              </w:rPr>
              <w:t>本書は、あくまで参考例であるので、作業実態に</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30"/>
                <w:szCs w:val="30"/>
              </w:rPr>
              <w:t>あわせて適宜修正を加えること。</w:t>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jc w:val="center"/>
        <w:rPr>
          <w:rFonts w:ascii="ＭＳ 明朝" w:cstheme="minorBidi"/>
        </w:rPr>
      </w:pPr>
      <w:r>
        <w:rPr>
          <w:rFonts w:ascii="ＭＳ 明朝" w:eastAsia="HG丸ｺﾞｼｯｸM-PRO" w:cs="HG丸ｺﾞｼｯｸM-PRO" w:hint="eastAsia"/>
          <w:sz w:val="32"/>
          <w:szCs w:val="32"/>
        </w:rPr>
        <w:t>○○○商会</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jc w:val="center"/>
        <w:rPr>
          <w:rFonts w:ascii="ＭＳ 明朝" w:cstheme="minorBidi"/>
        </w:rPr>
      </w:pPr>
      <w:r>
        <w:rPr>
          <w:rFonts w:ascii="ＭＳ 明朝" w:eastAsia="HG丸ｺﾞｼｯｸM-PRO" w:cs="HG丸ｺﾞｼｯｸM-PRO" w:hint="eastAsia"/>
          <w:sz w:val="28"/>
          <w:szCs w:val="28"/>
        </w:rPr>
        <w:t>○○年○○月○○日　制定</w:t>
      </w:r>
    </w:p>
    <w:p w:rsidR="00C60C50" w:rsidRDefault="00C60C50" w:rsidP="00C60C50">
      <w:pPr>
        <w:jc w:val="center"/>
        <w:rPr>
          <w:rFonts w:ascii="ＭＳ 明朝" w:cstheme="minorBidi"/>
        </w:rPr>
      </w:pPr>
      <w:r>
        <w:rPr>
          <w:rFonts w:ascii="ＭＳ 明朝" w:eastAsia="HG丸ｺﾞｼｯｸM-PRO" w:cs="HG丸ｺﾞｼｯｸM-PRO" w:hint="eastAsia"/>
          <w:sz w:val="28"/>
          <w:szCs w:val="28"/>
        </w:rPr>
        <w:t>○○年○○月○○日　改訂</w:t>
      </w:r>
      <w:r>
        <w:rPr>
          <w:rFonts w:ascii="ＭＳ 明朝" w:cstheme="minorBidi"/>
          <w:color w:val="auto"/>
          <w:sz w:val="20"/>
          <w:szCs w:val="20"/>
        </w:rPr>
        <w:br w:type="page"/>
      </w:r>
      <w:r>
        <w:rPr>
          <w:rFonts w:ascii="ＭＳ 明朝" w:eastAsia="HG丸ｺﾞｼｯｸM-PRO" w:cs="HG丸ｺﾞｼｯｸM-PRO" w:hint="eastAsia"/>
          <w:sz w:val="24"/>
          <w:szCs w:val="24"/>
        </w:rPr>
        <w:lastRenderedPageBreak/>
        <w:t>１　フローチャート（処理の流れ）</w:t>
      </w:r>
    </w:p>
    <w:p w:rsidR="00C60C50" w:rsidRDefault="00C60C50" w:rsidP="00C60C50">
      <w:pPr>
        <w:rPr>
          <w:rFonts w:ascii="ＭＳ 明朝" w:cstheme="minorBidi"/>
        </w:rPr>
      </w:pPr>
    </w:p>
    <w:p w:rsidR="00C60C50" w:rsidRDefault="00C60C50" w:rsidP="00C60C50">
      <w:pPr>
        <w:rPr>
          <w:rFonts w:ascii="ＭＳ 明朝" w:cstheme="minorBidi"/>
        </w:rPr>
      </w:pPr>
    </w:p>
    <w:tbl>
      <w:tblPr>
        <w:tblW w:w="0" w:type="auto"/>
        <w:tblInd w:w="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4"/>
      </w:tblGrid>
      <w:tr w:rsidR="00C60C50" w:rsidTr="005C6BEB">
        <w:tblPrEx>
          <w:tblCellMar>
            <w:top w:w="0" w:type="dxa"/>
            <w:bottom w:w="0" w:type="dxa"/>
          </w:tblCellMar>
        </w:tblPrEx>
        <w:trPr>
          <w:trHeight w:val="322"/>
        </w:trPr>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解体自動車の運搬</w:t>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661"/>
        <w:gridCol w:w="551"/>
        <w:gridCol w:w="661"/>
        <w:gridCol w:w="1432"/>
        <w:gridCol w:w="110"/>
        <w:gridCol w:w="2754"/>
        <w:gridCol w:w="110"/>
        <w:gridCol w:w="331"/>
        <w:gridCol w:w="2203"/>
        <w:gridCol w:w="496"/>
      </w:tblGrid>
      <w:tr w:rsidR="00C60C50" w:rsidTr="005C6BEB">
        <w:tblPrEx>
          <w:tblCellMar>
            <w:top w:w="0" w:type="dxa"/>
            <w:bottom w:w="0" w:type="dxa"/>
          </w:tblCellMar>
        </w:tblPrEx>
        <w:trPr>
          <w:cantSplit/>
          <w:trHeight w:val="322"/>
        </w:trPr>
        <w:tc>
          <w:tcPr>
            <w:tcW w:w="385" w:type="dxa"/>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火</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災</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予</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防</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措</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sz w:val="24"/>
                <w:szCs w:val="24"/>
              </w:rPr>
              <w:t xml:space="preserve"> </w:t>
            </w:r>
            <w:r>
              <w:rPr>
                <w:rFonts w:cs="ＭＳ 明朝" w:hint="eastAsia"/>
                <w:sz w:val="24"/>
                <w:szCs w:val="24"/>
              </w:rPr>
              <w:t>置</w:t>
            </w:r>
          </w:p>
        </w:tc>
        <w:tc>
          <w:tcPr>
            <w:tcW w:w="551" w:type="dxa"/>
            <w:vMerge w:val="restart"/>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設</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備</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の</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保</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守</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点</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sz w:val="24"/>
                <w:szCs w:val="24"/>
              </w:rPr>
              <w:t xml:space="preserve"> </w:t>
            </w:r>
            <w:r>
              <w:rPr>
                <w:rFonts w:cs="ＭＳ 明朝" w:hint="eastAsia"/>
                <w:sz w:val="24"/>
                <w:szCs w:val="24"/>
              </w:rPr>
              <w:t>検</w:t>
            </w:r>
          </w:p>
        </w:tc>
        <w:tc>
          <w:tcPr>
            <w:tcW w:w="1542" w:type="dxa"/>
            <w:gridSpan w:val="2"/>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864" w:type="dxa"/>
            <w:gridSpan w:val="2"/>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解体自動車の保管</w:t>
            </w:r>
          </w:p>
        </w:tc>
        <w:tc>
          <w:tcPr>
            <w:tcW w:w="3030" w:type="dxa"/>
            <w:gridSpan w:val="3"/>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cantSplit/>
          <w:trHeight w:val="966"/>
        </w:trPr>
        <w:tc>
          <w:tcPr>
            <w:tcW w:w="385"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55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7436" w:type="dxa"/>
            <w:gridSpan w:val="7"/>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385"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55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864" w:type="dxa"/>
            <w:gridSpan w:val="2"/>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ascii="ＭＳ 明朝" w:eastAsia="HG丸ｺﾞｼｯｸM-PRO" w:cs="HG丸ｺﾞｼｯｸM-PRO" w:hint="eastAsia"/>
                <w:sz w:val="24"/>
                <w:szCs w:val="24"/>
              </w:rPr>
              <w:instrText>破砕前処理</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ascii="ＭＳ 明朝" w:eastAsia="HG丸ｺﾞｼｯｸM-PRO" w:cs="HG丸ｺﾞｼｯｸM-PRO" w:hint="eastAsia"/>
                <w:sz w:val="24"/>
                <w:szCs w:val="24"/>
              </w:rPr>
              <w:t>破砕前処理</w:t>
            </w:r>
            <w:r>
              <w:rPr>
                <w:rFonts w:ascii="ＭＳ 明朝" w:cs="ＭＳ 明朝"/>
                <w:color w:val="auto"/>
                <w:sz w:val="20"/>
                <w:szCs w:val="20"/>
              </w:rPr>
              <w:fldChar w:fldCharType="end"/>
            </w:r>
          </w:p>
        </w:tc>
        <w:tc>
          <w:tcPr>
            <w:tcW w:w="441" w:type="dxa"/>
            <w:gridSpan w:val="2"/>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排水処理施設の</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管理</w:t>
            </w:r>
          </w:p>
        </w:tc>
        <w:tc>
          <w:tcPr>
            <w:tcW w:w="496" w:type="dxa"/>
            <w:vMerge w:val="restart"/>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cantSplit/>
          <w:trHeight w:val="644"/>
        </w:trPr>
        <w:tc>
          <w:tcPr>
            <w:tcW w:w="385"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55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737" w:type="dxa"/>
            <w:gridSpan w:val="5"/>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96" w:type="dxa"/>
            <w:vMerge/>
            <w:tcBorders>
              <w:top w:val="nil"/>
              <w:left w:val="single"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385" w:type="dxa"/>
            <w:vMerge/>
            <w:tcBorders>
              <w:top w:val="nil"/>
              <w:left w:val="nil"/>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551"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vMerge w:val="restart"/>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864"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　　　　　　砕</w:t>
            </w:r>
          </w:p>
        </w:tc>
        <w:tc>
          <w:tcPr>
            <w:tcW w:w="441" w:type="dxa"/>
            <w:gridSpan w:val="2"/>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496" w:type="dxa"/>
            <w:vMerge/>
            <w:tcBorders>
              <w:top w:val="nil"/>
              <w:left w:val="nil"/>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1597" w:type="dxa"/>
            <w:gridSpan w:val="3"/>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tcBorders>
              <w:top w:val="single" w:sz="12"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432"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864"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140" w:type="dxa"/>
            <w:gridSpan w:val="4"/>
            <w:vMerge w:val="restart"/>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3690" w:type="dxa"/>
            <w:gridSpan w:val="5"/>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864" w:type="dxa"/>
            <w:gridSpan w:val="2"/>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140" w:type="dxa"/>
            <w:gridSpan w:val="4"/>
            <w:vMerge/>
            <w:tcBorders>
              <w:top w:val="nil"/>
              <w:left w:val="single"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bl>
    <w:p w:rsidR="00C60C50" w:rsidRDefault="00C60C50" w:rsidP="00C60C50">
      <w:pPr>
        <w:rPr>
          <w:rFonts w:ascii="ＭＳ 明朝" w:cstheme="minorBidi"/>
        </w:rPr>
      </w:pPr>
    </w:p>
    <w:p w:rsidR="00C60C50" w:rsidRDefault="00C60C50" w:rsidP="00C60C50">
      <w:pPr>
        <w:rPr>
          <w:rFonts w:ascii="ＭＳ 明朝" w:cstheme="minorBidi"/>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0"/>
        <w:gridCol w:w="2864"/>
      </w:tblGrid>
      <w:tr w:rsidR="00C60C50" w:rsidTr="005C6BEB">
        <w:tblPrEx>
          <w:tblCellMar>
            <w:top w:w="0" w:type="dxa"/>
            <w:bottom w:w="0" w:type="dxa"/>
          </w:tblCellMar>
        </w:tblPrEx>
        <w:trPr>
          <w:trHeight w:val="322"/>
        </w:trPr>
        <w:tc>
          <w:tcPr>
            <w:tcW w:w="3690" w:type="dxa"/>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t xml:space="preserve">   </w:t>
            </w:r>
            <w:r>
              <w:rPr>
                <w:rFonts w:ascii="HG丸ｺﾞｼｯｸM-PRO" w:hAnsi="HG丸ｺﾞｼｯｸM-PRO" w:cs="HG丸ｺﾞｼｯｸM-PRO"/>
                <w:sz w:val="24"/>
                <w:szCs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ascii="ＭＳ 明朝" w:eastAsia="HG丸ｺﾞｼｯｸM-PRO" w:cs="HG丸ｺﾞｼｯｸM-PRO" w:hint="eastAsia"/>
                <w:sz w:val="24"/>
                <w:szCs w:val="24"/>
              </w:rPr>
              <w:instrText>破砕残さの保管</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ascii="ＭＳ 明朝" w:eastAsia="HG丸ｺﾞｼｯｸM-PRO" w:cs="HG丸ｺﾞｼｯｸM-PRO" w:hint="eastAsia"/>
                <w:sz w:val="24"/>
                <w:szCs w:val="24"/>
              </w:rPr>
              <w:t>破砕残さの保管</w:t>
            </w:r>
            <w:r>
              <w:rPr>
                <w:rFonts w:ascii="ＭＳ 明朝" w:cs="ＭＳ 明朝"/>
                <w:color w:val="auto"/>
                <w:sz w:val="20"/>
                <w:szCs w:val="20"/>
              </w:rPr>
              <w:fldChar w:fldCharType="end"/>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tbl>
      <w:tblPr>
        <w:tblW w:w="0" w:type="auto"/>
        <w:tblInd w:w="3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4"/>
      </w:tblGrid>
      <w:tr w:rsidR="00C60C50" w:rsidTr="005C6BEB">
        <w:tblPrEx>
          <w:tblCellMar>
            <w:top w:w="0" w:type="dxa"/>
            <w:bottom w:w="0" w:type="dxa"/>
          </w:tblCellMar>
        </w:tblPrEx>
        <w:trPr>
          <w:trHeight w:val="322"/>
        </w:trPr>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ascii="ＭＳ 明朝" w:eastAsia="HG丸ｺﾞｼｯｸM-PRO" w:cs="HG丸ｺﾞｼｯｸM-PRO" w:hint="eastAsia"/>
                <w:sz w:val="24"/>
                <w:szCs w:val="24"/>
              </w:rPr>
              <w:instrText>破砕残さの運搬</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ascii="ＭＳ 明朝" w:eastAsia="HG丸ｺﾞｼｯｸM-PRO" w:cs="HG丸ｺﾞｼｯｸM-PRO" w:hint="eastAsia"/>
                <w:sz w:val="24"/>
                <w:szCs w:val="24"/>
              </w:rPr>
              <w:t>破砕残さの運搬</w:t>
            </w:r>
            <w:r>
              <w:rPr>
                <w:rFonts w:ascii="ＭＳ 明朝" w:cs="ＭＳ 明朝"/>
                <w:color w:val="auto"/>
                <w:sz w:val="20"/>
                <w:szCs w:val="20"/>
              </w:rPr>
              <w:fldChar w:fldCharType="end"/>
            </w:r>
          </w:p>
        </w:tc>
      </w:tr>
    </w:tbl>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cstheme="minorBidi"/>
          <w:color w:val="auto"/>
          <w:sz w:val="20"/>
          <w:szCs w:val="20"/>
        </w:rPr>
        <w:br w:type="page"/>
      </w:r>
      <w:r>
        <w:rPr>
          <w:rFonts w:ascii="ＭＳ 明朝" w:eastAsia="HG丸ｺﾞｼｯｸM-PRO" w:cs="HG丸ｺﾞｼｯｸM-PRO" w:hint="eastAsia"/>
          <w:sz w:val="24"/>
          <w:szCs w:val="24"/>
        </w:rPr>
        <w:lastRenderedPageBreak/>
        <w:t>２　事業所の配置図</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（例）同一敷地内で保管、破砕を行う場合</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ネットフェンス</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221"/>
        <w:gridCol w:w="220"/>
        <w:gridCol w:w="440"/>
        <w:gridCol w:w="882"/>
        <w:gridCol w:w="220"/>
        <w:gridCol w:w="220"/>
        <w:gridCol w:w="221"/>
        <w:gridCol w:w="551"/>
        <w:gridCol w:w="440"/>
        <w:gridCol w:w="220"/>
        <w:gridCol w:w="221"/>
        <w:gridCol w:w="330"/>
        <w:gridCol w:w="882"/>
        <w:gridCol w:w="220"/>
        <w:gridCol w:w="1542"/>
        <w:gridCol w:w="110"/>
        <w:gridCol w:w="551"/>
        <w:gridCol w:w="881"/>
        <w:gridCol w:w="331"/>
        <w:gridCol w:w="440"/>
        <w:gridCol w:w="56"/>
      </w:tblGrid>
      <w:tr w:rsidR="00C60C50" w:rsidTr="005C6BEB">
        <w:tblPrEx>
          <w:tblCellMar>
            <w:top w:w="0" w:type="dxa"/>
            <w:bottom w:w="0" w:type="dxa"/>
          </w:tblCellMar>
        </w:tblPrEx>
        <w:trPr>
          <w:gridAfter w:val="1"/>
          <w:wAfter w:w="56" w:type="dxa"/>
          <w:trHeight w:val="966"/>
        </w:trPr>
        <w:tc>
          <w:tcPr>
            <w:tcW w:w="9363" w:type="dxa"/>
            <w:gridSpan w:val="21"/>
            <w:tcBorders>
              <w:top w:val="dashed" w:sz="12" w:space="0" w:color="000000"/>
              <w:left w:val="dashed" w:sz="12" w:space="0" w:color="000000"/>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○○ｍ</w:t>
            </w:r>
          </w:p>
        </w:tc>
      </w:tr>
      <w:tr w:rsidR="00C60C50" w:rsidTr="005C6BEB">
        <w:tblPrEx>
          <w:tblCellMar>
            <w:top w:w="0" w:type="dxa"/>
            <w:bottom w:w="0" w:type="dxa"/>
          </w:tblCellMar>
        </w:tblPrEx>
        <w:trPr>
          <w:trHeight w:val="322"/>
        </w:trPr>
        <w:tc>
          <w:tcPr>
            <w:tcW w:w="9419" w:type="dxa"/>
            <w:gridSpan w:val="22"/>
            <w:tcBorders>
              <w:top w:val="nil"/>
              <w:left w:val="dashed" w:sz="12"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HG丸ｺﾞｼｯｸM-PRO" w:hAnsi="HG丸ｺﾞｼｯｸM-PRO" w:cs="ＭＳ 明朝" w:hint="eastAsia"/>
                <w:sz w:val="24"/>
                <w:szCs w:val="24"/>
              </w:rPr>
              <w:t xml:space="preserve">　　</w:t>
            </w:r>
            <w:r>
              <w:rPr>
                <w:rFonts w:ascii="ＭＳ 明朝" w:eastAsia="HG丸ｺﾞｼｯｸM-PRO" w:cs="HG丸ｺﾞｼｯｸM-PRO" w:hint="eastAsia"/>
                <w:sz w:val="24"/>
                <w:szCs w:val="24"/>
              </w:rPr>
              <w:t>門</w:t>
            </w:r>
          </w:p>
        </w:tc>
      </w:tr>
      <w:tr w:rsidR="00C60C50" w:rsidTr="005C6BEB">
        <w:tblPrEx>
          <w:tblCellMar>
            <w:top w:w="0" w:type="dxa"/>
            <w:bottom w:w="0" w:type="dxa"/>
          </w:tblCellMar>
        </w:tblPrEx>
        <w:trPr>
          <w:cantSplit/>
          <w:trHeight w:val="322"/>
        </w:trPr>
        <w:tc>
          <w:tcPr>
            <w:tcW w:w="220" w:type="dxa"/>
            <w:vMerge w:val="restart"/>
            <w:tcBorders>
              <w:top w:val="nil"/>
              <w:left w:val="dashed" w:sz="12"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p>
        </w:tc>
        <w:tc>
          <w:tcPr>
            <w:tcW w:w="1763" w:type="dxa"/>
            <w:gridSpan w:val="4"/>
            <w:vMerge w:val="restart"/>
            <w:tcBorders>
              <w:top w:val="dashed" w:sz="4" w:space="0" w:color="000000"/>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その他（家電・自販機）保管場所</w:t>
            </w:r>
          </w:p>
        </w:tc>
        <w:tc>
          <w:tcPr>
            <w:tcW w:w="220" w:type="dxa"/>
            <w:vMerge w:val="restart"/>
            <w:tcBorders>
              <w:top w:val="nil"/>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305" w:type="dxa"/>
            <w:gridSpan w:val="9"/>
            <w:vMerge w:val="restart"/>
            <w:tcBorders>
              <w:top w:val="dashed" w:sz="4" w:space="0" w:color="000000"/>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解体自動車保管場所</w:t>
            </w: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652" w:type="dxa"/>
            <w:gridSpan w:val="2"/>
            <w:vMerge w:val="restart"/>
            <w:tcBorders>
              <w:top w:val="nil"/>
              <w:left w:val="dashed"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○○ｍ</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432" w:type="dxa"/>
            <w:gridSpan w:val="2"/>
            <w:vMerge w:val="restart"/>
            <w:tcBorders>
              <w:top w:val="single" w:sz="12" w:space="0" w:color="000000"/>
              <w:left w:val="single" w:sz="12" w:space="0" w:color="000000"/>
              <w:bottom w:val="nil"/>
              <w:right w:val="single"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務</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所</w:t>
            </w:r>
          </w:p>
        </w:tc>
        <w:tc>
          <w:tcPr>
            <w:tcW w:w="827" w:type="dxa"/>
            <w:gridSpan w:val="3"/>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扉</w:t>
            </w:r>
          </w:p>
        </w:tc>
      </w:tr>
      <w:tr w:rsidR="00C60C50" w:rsidTr="005C6BEB">
        <w:tblPrEx>
          <w:tblCellMar>
            <w:top w:w="0" w:type="dxa"/>
            <w:bottom w:w="0" w:type="dxa"/>
          </w:tblCellMar>
        </w:tblPrEx>
        <w:trPr>
          <w:gridAfter w:val="1"/>
          <w:wAfter w:w="56" w:type="dxa"/>
          <w:cantSplit/>
          <w:trHeight w:val="322"/>
        </w:trPr>
        <w:tc>
          <w:tcPr>
            <w:tcW w:w="220" w:type="dxa"/>
            <w:vMerge/>
            <w:tcBorders>
              <w:top w:val="nil"/>
              <w:left w:val="dashed" w:sz="12"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763" w:type="dxa"/>
            <w:gridSpan w:val="4"/>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0" w:type="dxa"/>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305" w:type="dxa"/>
            <w:gridSpan w:val="9"/>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652" w:type="dxa"/>
            <w:gridSpan w:val="2"/>
            <w:vMerge/>
            <w:tcBorders>
              <w:top w:val="nil"/>
              <w:left w:val="dashed" w:sz="4" w:space="0" w:color="000000"/>
              <w:bottom w:val="nil"/>
              <w:right w:val="single"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gridSpan w:val="2"/>
            <w:vMerge/>
            <w:tcBorders>
              <w:top w:val="nil"/>
              <w:left w:val="single" w:sz="12" w:space="0" w:color="000000"/>
              <w:bottom w:val="nil"/>
              <w:right w:val="single"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771" w:type="dxa"/>
            <w:gridSpan w:val="2"/>
            <w:vMerge w:val="restart"/>
            <w:tcBorders>
              <w:top w:val="nil"/>
              <w:left w:val="single" w:sz="12" w:space="0" w:color="000000"/>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220" w:type="dxa"/>
            <w:vMerge/>
            <w:tcBorders>
              <w:top w:val="nil"/>
              <w:left w:val="dashed" w:sz="12"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763" w:type="dxa"/>
            <w:gridSpan w:val="4"/>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0" w:type="dxa"/>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305" w:type="dxa"/>
            <w:gridSpan w:val="9"/>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652" w:type="dxa"/>
            <w:gridSpan w:val="2"/>
            <w:vMerge/>
            <w:tcBorders>
              <w:top w:val="nil"/>
              <w:left w:val="dashed"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gridSpan w:val="2"/>
            <w:tcBorders>
              <w:top w:val="single" w:sz="12"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771" w:type="dxa"/>
            <w:gridSpan w:val="2"/>
            <w:vMerge/>
            <w:tcBorders>
              <w:top w:val="nil"/>
              <w:left w:val="nil"/>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644"/>
        </w:trPr>
        <w:tc>
          <w:tcPr>
            <w:tcW w:w="220" w:type="dxa"/>
            <w:vMerge/>
            <w:tcBorders>
              <w:top w:val="nil"/>
              <w:left w:val="dashed" w:sz="12"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763" w:type="dxa"/>
            <w:gridSpan w:val="4"/>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0" w:type="dxa"/>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gridSpan w:val="4"/>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プレス機</w:t>
            </w:r>
          </w:p>
        </w:tc>
        <w:tc>
          <w:tcPr>
            <w:tcW w:w="1873" w:type="dxa"/>
            <w:gridSpan w:val="5"/>
            <w:tcBorders>
              <w:top w:val="nil"/>
              <w:left w:val="nil"/>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gridSpan w:val="3"/>
            <w:vMerge w:val="restart"/>
            <w:tcBorders>
              <w:top w:val="nil"/>
              <w:left w:val="dashed"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○ｍ</w:t>
            </w:r>
          </w:p>
        </w:tc>
        <w:tc>
          <w:tcPr>
            <w:tcW w:w="1212"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0"/>
                <w:szCs w:val="20"/>
              </w:rPr>
              <w:t xml:space="preserve">  </w:t>
            </w:r>
            <w:r>
              <w:rPr>
                <w:rFonts w:ascii="ＭＳ 明朝" w:eastAsia="HG丸ｺﾞｼｯｸM-PRO" w:cs="HG丸ｺﾞｼｯｸM-PRO" w:hint="eastAsia"/>
                <w:sz w:val="20"/>
                <w:szCs w:val="20"/>
              </w:rPr>
              <w:t>ＡＳＲ</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0"/>
                <w:szCs w:val="20"/>
              </w:rPr>
              <w:t xml:space="preserve">  </w:t>
            </w:r>
            <w:r>
              <w:rPr>
                <w:rFonts w:ascii="ＭＳ 明朝" w:eastAsia="HG丸ｺﾞｼｯｸM-PRO" w:cs="HG丸ｺﾞｼｯｸM-PRO" w:hint="eastAsia"/>
                <w:sz w:val="20"/>
                <w:szCs w:val="20"/>
              </w:rPr>
              <w:t>減容化</w:t>
            </w:r>
          </w:p>
        </w:tc>
        <w:tc>
          <w:tcPr>
            <w:tcW w:w="440" w:type="dxa"/>
            <w:vMerge w:val="restart"/>
            <w:tcBorders>
              <w:top w:val="nil"/>
              <w:left w:val="nil"/>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220" w:type="dxa"/>
            <w:vMerge/>
            <w:tcBorders>
              <w:top w:val="nil"/>
              <w:left w:val="dashed" w:sz="12"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763" w:type="dxa"/>
            <w:gridSpan w:val="4"/>
            <w:tcBorders>
              <w:top w:val="dashed"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 w:type="dxa"/>
            <w:vMerge/>
            <w:tcBorders>
              <w:top w:val="nil"/>
              <w:left w:val="nil"/>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gridSpan w:val="4"/>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873" w:type="dxa"/>
            <w:gridSpan w:val="5"/>
            <w:tcBorders>
              <w:top w:val="dashed"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gridSpan w:val="3"/>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644"/>
        </w:trPr>
        <w:tc>
          <w:tcPr>
            <w:tcW w:w="441" w:type="dxa"/>
            <w:gridSpan w:val="2"/>
            <w:vMerge w:val="restart"/>
            <w:tcBorders>
              <w:top w:val="nil"/>
              <w:left w:val="dashed" w:sz="12"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0"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プ</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レ</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シ</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ュ</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レ</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ッ</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 xml:space="preserve">　ダ</w:t>
            </w:r>
          </w:p>
        </w:tc>
        <w:tc>
          <w:tcPr>
            <w:tcW w:w="1322" w:type="dxa"/>
            <w:gridSpan w:val="3"/>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破砕機</w:t>
            </w:r>
          </w:p>
        </w:tc>
        <w:tc>
          <w:tcPr>
            <w:tcW w:w="3085" w:type="dxa"/>
            <w:gridSpan w:val="8"/>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選　別</w:t>
            </w: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gridSpan w:val="3"/>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0"/>
                <w:szCs w:val="20"/>
              </w:rPr>
              <w:t xml:space="preserve">  </w:t>
            </w:r>
            <w:r>
              <w:rPr>
                <w:rFonts w:ascii="ＭＳ 明朝" w:eastAsia="HG丸ｺﾞｼｯｸM-PRO" w:cs="HG丸ｺﾞｼｯｸM-PRO" w:hint="eastAsia"/>
                <w:sz w:val="20"/>
                <w:szCs w:val="20"/>
              </w:rPr>
              <w:t>ＡＳＲ</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0"/>
                <w:szCs w:val="20"/>
              </w:rPr>
              <w:t xml:space="preserve">  </w:t>
            </w:r>
            <w:r>
              <w:rPr>
                <w:rFonts w:ascii="ＭＳ 明朝" w:eastAsia="HG丸ｺﾞｼｯｸM-PRO" w:cs="HG丸ｺﾞｼｯｸM-PRO" w:hint="eastAsia"/>
                <w:sz w:val="20"/>
                <w:szCs w:val="20"/>
              </w:rPr>
              <w:t>保管場所</w:t>
            </w: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5" w:type="dxa"/>
            <w:gridSpan w:val="8"/>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vMerge w:val="restart"/>
            <w:tcBorders>
              <w:top w:val="dashed" w:sz="4" w:space="0" w:color="000000"/>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0"/>
                <w:szCs w:val="20"/>
              </w:rPr>
              <w:t>ＡＳＲライン</w:t>
            </w:r>
          </w:p>
        </w:tc>
        <w:tc>
          <w:tcPr>
            <w:tcW w:w="661" w:type="dxa"/>
            <w:gridSpan w:val="2"/>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212"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5" w:type="dxa"/>
            <w:gridSpan w:val="8"/>
            <w:vMerge/>
            <w:tcBorders>
              <w:top w:val="nil"/>
              <w:left w:val="single"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gridSpan w:val="2"/>
            <w:vMerge/>
            <w:tcBorders>
              <w:top w:val="nil"/>
              <w:left w:val="dashed"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440" w:type="dxa"/>
            <w:vMerge/>
            <w:tcBorders>
              <w:top w:val="nil"/>
              <w:left w:val="nil"/>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5" w:type="dxa"/>
            <w:gridSpan w:val="8"/>
            <w:vMerge/>
            <w:tcBorders>
              <w:top w:val="nil"/>
              <w:left w:val="single"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tcBorders>
              <w:top w:val="dashed" w:sz="4" w:space="0" w:color="000000"/>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313" w:type="dxa"/>
            <w:gridSpan w:val="5"/>
            <w:tcBorders>
              <w:top w:val="nil"/>
              <w:left w:val="nil"/>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983" w:type="dxa"/>
            <w:gridSpan w:val="6"/>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882"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ＭＳ 明朝" w:eastAsia="HG丸ｺﾞｼｯｸM-PRO" w:cs="HG丸ｺﾞｼｯｸM-PRO" w:hint="eastAsia"/>
              </w:rPr>
              <w:t>比重</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選別</w:t>
            </w:r>
          </w:p>
        </w:tc>
        <w:tc>
          <w:tcPr>
            <w:tcW w:w="220" w:type="dxa"/>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855" w:type="dxa"/>
            <w:gridSpan w:val="6"/>
            <w:tcBorders>
              <w:top w:val="nil"/>
              <w:left w:val="single" w:sz="4" w:space="0" w:color="000000"/>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 xml:space="preserve">　</w:t>
            </w:r>
            <w:r>
              <w:rPr>
                <w:rFonts w:ascii="HG丸ｺﾞｼｯｸM-PRO" w:hAnsi="HG丸ｺﾞｼｯｸM-PRO" w:cs="HG丸ｺﾞｼｯｸM-PRO"/>
              </w:rPr>
              <w:t xml:space="preserve"> </w:t>
            </w:r>
            <w:r>
              <w:rPr>
                <w:rFonts w:ascii="ＭＳ 明朝" w:eastAsia="HG丸ｺﾞｼｯｸM-PRO" w:cs="HG丸ｺﾞｼｯｸM-PRO" w:hint="eastAsia"/>
              </w:rPr>
              <w:t>○ｍ</w:t>
            </w:r>
          </w:p>
        </w:tc>
      </w:tr>
      <w:tr w:rsidR="00C60C50" w:rsidTr="005C6BEB">
        <w:tblPrEx>
          <w:tblCellMar>
            <w:top w:w="0" w:type="dxa"/>
            <w:bottom w:w="0" w:type="dxa"/>
          </w:tblCellMar>
        </w:tblPrEx>
        <w:trPr>
          <w:gridAfter w:val="1"/>
          <w:wAfter w:w="56" w:type="dxa"/>
          <w:cantSplit/>
          <w:trHeight w:val="644"/>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1" w:type="dxa"/>
            <w:vMerge w:val="restart"/>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211" w:type="dxa"/>
            <w:gridSpan w:val="3"/>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rPr>
              <w:t>磁選・圧縮</w:t>
            </w:r>
          </w:p>
        </w:tc>
        <w:tc>
          <w:tcPr>
            <w:tcW w:w="551" w:type="dxa"/>
            <w:gridSpan w:val="2"/>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882"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0"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tcBorders>
              <w:top w:val="dashed" w:sz="4" w:space="0" w:color="000000"/>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0"/>
                <w:szCs w:val="20"/>
              </w:rPr>
              <w:t>非鉄金属ライン</w:t>
            </w:r>
          </w:p>
        </w:tc>
        <w:tc>
          <w:tcPr>
            <w:tcW w:w="661" w:type="dxa"/>
            <w:gridSpan w:val="2"/>
            <w:vMerge w:val="restart"/>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保</w:t>
            </w:r>
          </w:p>
        </w:tc>
        <w:tc>
          <w:tcPr>
            <w:tcW w:w="1212" w:type="dxa"/>
            <w:gridSpan w:val="2"/>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アルミ</w:t>
            </w:r>
          </w:p>
        </w:tc>
        <w:tc>
          <w:tcPr>
            <w:tcW w:w="440" w:type="dxa"/>
            <w:vMerge w:val="restart"/>
            <w:tcBorders>
              <w:top w:val="nil"/>
              <w:left w:val="nil"/>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1" w:type="dxa"/>
            <w:vMerge/>
            <w:tcBorders>
              <w:top w:val="nil"/>
              <w:left w:val="single" w:sz="4" w:space="0" w:color="000000"/>
              <w:bottom w:val="single" w:sz="4" w:space="0" w:color="000000"/>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1" w:type="dxa"/>
            <w:gridSpan w:val="3"/>
            <w:tcBorders>
              <w:top w:val="single" w:sz="4" w:space="0" w:color="000000"/>
              <w:left w:val="nil"/>
              <w:bottom w:val="single" w:sz="4" w:space="0" w:color="000000"/>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551" w:type="dxa"/>
            <w:gridSpan w:val="2"/>
            <w:vMerge/>
            <w:tcBorders>
              <w:top w:val="nil"/>
              <w:left w:val="nil"/>
              <w:bottom w:val="single" w:sz="4" w:space="0" w:color="000000"/>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882" w:type="dxa"/>
            <w:tcBorders>
              <w:top w:val="single" w:sz="4" w:space="0" w:color="000000"/>
              <w:left w:val="nil"/>
              <w:bottom w:val="single" w:sz="4" w:space="0" w:color="000000"/>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 w:type="dxa"/>
            <w:vMerge/>
            <w:tcBorders>
              <w:top w:val="nil"/>
              <w:left w:val="nil"/>
              <w:bottom w:val="single" w:sz="4" w:space="0" w:color="000000"/>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tcBorders>
              <w:top w:val="dashed" w:sz="4" w:space="0" w:color="000000"/>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gridSpan w:val="2"/>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銅</w:t>
            </w: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3855" w:type="dxa"/>
            <w:gridSpan w:val="11"/>
            <w:tcBorders>
              <w:top w:val="nil"/>
              <w:left w:val="dashed" w:sz="12"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1"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635" w:type="dxa"/>
            <w:gridSpan w:val="6"/>
            <w:vMerge w:val="restart"/>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HG丸ｺﾞｼｯｸM-PRO" w:hAnsi="HG丸ｺﾞｼｯｸM-PRO" w:cs="ＭＳ 明朝" w:hint="eastAsia"/>
              </w:rPr>
              <w:t xml:space="preserve">　</w:t>
            </w:r>
            <w:r>
              <w:rPr>
                <w:rFonts w:ascii="ＭＳ 明朝" w:eastAsia="HG丸ｺﾞｼｯｸM-PRO" w:cs="HG丸ｺﾞｼｯｸM-PRO" w:hint="eastAsia"/>
              </w:rPr>
              <w:t>管</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HG丸ｺﾞｼｯｸM-PRO" w:hAnsi="HG丸ｺﾞｼｯｸM-PRO" w:cs="ＭＳ 明朝" w:hint="eastAsia"/>
              </w:rPr>
              <w:t xml:space="preserve">　</w:t>
            </w:r>
            <w:r>
              <w:rPr>
                <w:rFonts w:ascii="ＭＳ 明朝" w:eastAsia="HG丸ｺﾞｼｯｸM-PRO" w:cs="HG丸ｺﾞｼｯｸM-PRO" w:hint="eastAsia"/>
              </w:rPr>
              <w:t>場</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HG丸ｺﾞｼｯｸM-PRO" w:hAnsi="HG丸ｺﾞｼｯｸM-PRO" w:cs="ＭＳ 明朝" w:hint="eastAsia"/>
              </w:rPr>
              <w:t xml:space="preserve">　</w:t>
            </w:r>
            <w:r>
              <w:rPr>
                <w:rFonts w:ascii="ＭＳ 明朝" w:eastAsia="HG丸ｺﾞｼｯｸM-PRO" w:cs="HG丸ｺﾞｼｯｸM-PRO" w:hint="eastAsia"/>
              </w:rPr>
              <w:t>所</w:t>
            </w:r>
          </w:p>
        </w:tc>
        <w:tc>
          <w:tcPr>
            <w:tcW w:w="1212"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644"/>
        </w:trPr>
        <w:tc>
          <w:tcPr>
            <w:tcW w:w="661" w:type="dxa"/>
            <w:gridSpan w:val="3"/>
            <w:vMerge w:val="restart"/>
            <w:tcBorders>
              <w:top w:val="nil"/>
              <w:left w:val="dashed" w:sz="12"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534" w:type="dxa"/>
            <w:gridSpan w:val="6"/>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鉄スクラップ保管場所</w:t>
            </w:r>
          </w:p>
        </w:tc>
        <w:tc>
          <w:tcPr>
            <w:tcW w:w="660" w:type="dxa"/>
            <w:gridSpan w:val="2"/>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635" w:type="dxa"/>
            <w:gridSpan w:val="6"/>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その他</w:t>
            </w: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661" w:type="dxa"/>
            <w:gridSpan w:val="3"/>
            <w:vMerge/>
            <w:tcBorders>
              <w:top w:val="nil"/>
              <w:left w:val="dashed" w:sz="12"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534" w:type="dxa"/>
            <w:gridSpan w:val="6"/>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0" w:type="dxa"/>
            <w:gridSpan w:val="2"/>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1" w:type="dxa"/>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635" w:type="dxa"/>
            <w:gridSpan w:val="6"/>
            <w:vMerge/>
            <w:tcBorders>
              <w:top w:val="nil"/>
              <w:left w:val="single"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440" w:type="dxa"/>
            <w:vMerge/>
            <w:tcBorders>
              <w:top w:val="nil"/>
              <w:left w:val="nil"/>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trHeight w:val="322"/>
        </w:trPr>
        <w:tc>
          <w:tcPr>
            <w:tcW w:w="9363" w:type="dxa"/>
            <w:gridSpan w:val="21"/>
            <w:tcBorders>
              <w:top w:val="nil"/>
              <w:left w:val="dashed" w:sz="12" w:space="0" w:color="000000"/>
              <w:bottom w:val="dashed" w:sz="12" w:space="0" w:color="000000"/>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bl>
    <w:p w:rsidR="00C60C50" w:rsidRDefault="00C60C50" w:rsidP="00C60C50">
      <w:pPr>
        <w:rPr>
          <w:rFonts w:ascii="ＭＳ 明朝" w:cstheme="minorBidi"/>
        </w:rPr>
      </w:pPr>
      <w:r>
        <w:rPr>
          <w:rFonts w:ascii="ＭＳ 明朝" w:cstheme="minorBidi"/>
          <w:color w:val="auto"/>
          <w:sz w:val="20"/>
          <w:szCs w:val="20"/>
        </w:rPr>
        <w:br w:type="page"/>
      </w:r>
      <w:r>
        <w:rPr>
          <w:rFonts w:ascii="ＭＳ 明朝" w:eastAsia="HG丸ｺﾞｼｯｸM-PRO" w:cs="HG丸ｺﾞｼｯｸM-PRO" w:hint="eastAsia"/>
          <w:sz w:val="24"/>
          <w:szCs w:val="24"/>
        </w:rPr>
        <w:lastRenderedPageBreak/>
        <w:t>３　解体自動車の運搬の方法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自社車輌による運搬</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解体自動車の運搬車輌への積み卸しは、フォークリフトにより行い、当社事業所及　　び破砕業者の保管場所の床面を破損させないよう留意して行う。</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5"/>
        <w:gridCol w:w="2643"/>
        <w:gridCol w:w="3195"/>
      </w:tblGrid>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使用車種</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最大積載量</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登録番号</w:t>
            </w:r>
          </w:p>
        </w:tc>
      </w:tr>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クレーン付きダンプ</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４</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○○あ○○○○</w:t>
            </w:r>
          </w:p>
        </w:tc>
      </w:tr>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平ボディー車</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２</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○○い○○○○</w:t>
            </w:r>
          </w:p>
        </w:tc>
      </w:tr>
    </w:tbl>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運搬に当たっては、廃棄物の収集運搬基準を遵守する。</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廃棄物処理法の収集運搬業の許可業者への委託</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解体自動車の当社への運搬は、原則、自社の車輌輸送車で行うこととするが、車検、　　修理その他の事由で委託する場合は、廃棄物収集運搬業の許可を有する次の者へ委託　　することとする。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864"/>
        <w:gridCol w:w="1322"/>
        <w:gridCol w:w="2534"/>
      </w:tblGrid>
      <w:tr w:rsidR="00C60C50" w:rsidTr="005C6BEB">
        <w:tblPrEx>
          <w:tblCellMar>
            <w:top w:w="0" w:type="dxa"/>
            <w:bottom w:w="0" w:type="dxa"/>
          </w:tblCellMar>
        </w:tblPrEx>
        <w:trPr>
          <w:trHeight w:val="322"/>
        </w:trPr>
        <w:tc>
          <w:tcPr>
            <w:tcW w:w="143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32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trHeight w:val="322"/>
        </w:trPr>
        <w:tc>
          <w:tcPr>
            <w:tcW w:w="143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32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４　解体自動車の保管</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保管場所の範囲の明確化</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保管場所は、配置図に記載のとおり。</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保管場所の区域に白線を引いてその範囲を明示する。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保管場所の面積は、○○ｍ</w:t>
      </w:r>
      <w:r>
        <w:rPr>
          <w:rFonts w:ascii="ＭＳ 明朝" w:eastAsia="HG丸ｺﾞｼｯｸM-PRO" w:cs="HG丸ｺﾞｼｯｸM-PRO" w:hint="eastAsia"/>
          <w:sz w:val="24"/>
          <w:szCs w:val="24"/>
          <w:vertAlign w:val="superscript"/>
        </w:rPr>
        <w:t>２</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保管の方法</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圧縮していない解体自動車を保管する場合は、積み重ねる際は囲いから３ｍ以内では２段積み３ｍまで、その内側では３段積み４．５ｍまでとする。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圧縮後の解体自動車については、５０％勾配にて積み上げる。</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【トラック等大型車を保管する場合】</w:t>
      </w:r>
    </w:p>
    <w:p w:rsidR="00C60C50" w:rsidRDefault="00C60C50" w:rsidP="00C60C50">
      <w:pPr>
        <w:ind w:left="440"/>
        <w:rPr>
          <w:rFonts w:ascii="ＭＳ 明朝" w:cstheme="minorBidi"/>
        </w:rPr>
      </w:pPr>
      <w:r>
        <w:rPr>
          <w:rFonts w:ascii="ＭＳ 明朝" w:eastAsia="HG丸ｺﾞｼｯｸM-PRO" w:cs="HG丸ｺﾞｼｯｸM-PRO" w:hint="eastAsia"/>
          <w:sz w:val="24"/>
          <w:szCs w:val="24"/>
        </w:rPr>
        <w:t>平置きで保管する。</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５　解体自動車の破砕前処理の方法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圧縮の方法（プレス機の例）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圧縮前の解体自動車を保管場所からフォークリフトでプレス機まで運搬する。</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ニブラ等重機を用いて解体自動車を掴み、作業場へ降ろし、簡易整形してプレス機　　に投入する。</w:t>
      </w:r>
    </w:p>
    <w:p w:rsidR="00C60C50" w:rsidRDefault="00C60C50" w:rsidP="00C60C50">
      <w:pPr>
        <w:rPr>
          <w:rFonts w:ascii="ＭＳ 明朝" w:cstheme="minorBidi"/>
        </w:rPr>
      </w:pPr>
      <w:r>
        <w:rPr>
          <w:rFonts w:ascii="ＭＳ 明朝" w:eastAsia="HG丸ｺﾞｼｯｸM-PRO" w:cs="HG丸ｺﾞｼｯｸM-PRO" w:hint="eastAsia"/>
          <w:sz w:val="24"/>
          <w:szCs w:val="24"/>
        </w:rPr>
        <w:lastRenderedPageBreak/>
        <w:t xml:space="preserve">　　　プレス機を遠隔操作にて作動させ２軸プレスを行う。</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解体自動車を○○台プレスするたびにフォークリフトにより保管場所へ運搬する。</w:t>
      </w:r>
    </w:p>
    <w:p w:rsidR="00C60C50" w:rsidRDefault="00C60C50" w:rsidP="00C60C50">
      <w:pPr>
        <w:rPr>
          <w:rFonts w:ascii="ＭＳ 明朝" w:cstheme="minorBidi"/>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2"/>
      </w:tblGrid>
      <w:tr w:rsidR="00C60C50" w:rsidTr="005C6BEB">
        <w:tblPrEx>
          <w:tblCellMar>
            <w:top w:w="0" w:type="dxa"/>
            <w:bottom w:w="0" w:type="dxa"/>
          </w:tblCellMar>
        </w:tblPrEx>
        <w:trPr>
          <w:trHeight w:val="2576"/>
        </w:trPr>
        <w:tc>
          <w:tcPr>
            <w:tcW w:w="848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圧縮の状況の写真</w:t>
            </w:r>
          </w:p>
        </w:tc>
      </w:tr>
    </w:tbl>
    <w:p w:rsidR="00C60C50" w:rsidRDefault="00C60C50" w:rsidP="00C60C50">
      <w:pPr>
        <w:rPr>
          <w:rFonts w:ascii="ＭＳ 明朝" w:cstheme="minorBidi"/>
        </w:rPr>
      </w:pP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圧縮に当たっては、自動車以外のもの（家電、自動販売機など）を混入させること　　のないように行う。</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せん断の方法（ギロチンシャーの例）</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せん断前の解体自動車を保管場所からフォークリフトでギロチンシャーまで運搬す　　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重機を用いてギロチンシャーに投入する。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せん断物をリフティングマグネットで保管場所に移動する。</w:t>
      </w:r>
    </w:p>
    <w:p w:rsidR="00C60C50" w:rsidRDefault="00C60C50" w:rsidP="00C60C50">
      <w:pPr>
        <w:rPr>
          <w:rFonts w:ascii="ＭＳ 明朝" w:cstheme="minorBidi"/>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2"/>
      </w:tblGrid>
      <w:tr w:rsidR="00C60C50" w:rsidTr="005C6BEB">
        <w:tblPrEx>
          <w:tblCellMar>
            <w:top w:w="0" w:type="dxa"/>
            <w:bottom w:w="0" w:type="dxa"/>
          </w:tblCellMar>
        </w:tblPrEx>
        <w:trPr>
          <w:trHeight w:val="2576"/>
        </w:trPr>
        <w:tc>
          <w:tcPr>
            <w:tcW w:w="848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せん断の状況の写真</w:t>
            </w:r>
          </w:p>
        </w:tc>
      </w:tr>
    </w:tbl>
    <w:p w:rsidR="00C60C50" w:rsidRDefault="00C60C50" w:rsidP="00C60C50">
      <w:pPr>
        <w:rPr>
          <w:rFonts w:ascii="ＭＳ 明朝" w:cstheme="minorBidi"/>
        </w:rPr>
      </w:pP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せん断に当たっては、自動車以外のもの（家電、自動販売機など）を混入させるこ　　とのないように行う。</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⑶　</w:t>
      </w:r>
      <w:r>
        <w:rPr>
          <w:rFonts w:ascii="ＭＳ 明朝" w:eastAsia="HG丸ｺﾞｼｯｸM-PRO" w:cs="HG丸ｺﾞｼｯｸM-PRO" w:hint="eastAsia"/>
          <w:sz w:val="24"/>
          <w:szCs w:val="24"/>
        </w:rPr>
        <w:t>破砕前処理の品の運搬先</w:t>
      </w:r>
    </w:p>
    <w:p w:rsidR="00C60C50" w:rsidRDefault="00C60C50" w:rsidP="00C60C50">
      <w:pPr>
        <w:rPr>
          <w:rFonts w:ascii="ＭＳ 明朝" w:cstheme="minorBidi"/>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4"/>
        <w:gridCol w:w="2974"/>
      </w:tblGrid>
      <w:tr w:rsidR="00C60C50" w:rsidTr="005C6BEB">
        <w:tblPrEx>
          <w:tblCellMar>
            <w:top w:w="0" w:type="dxa"/>
            <w:bottom w:w="0" w:type="dxa"/>
          </w:tblCellMar>
        </w:tblPrEx>
        <w:trPr>
          <w:trHeight w:val="322"/>
        </w:trPr>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破砕業者</w:t>
            </w:r>
          </w:p>
        </w:tc>
        <w:tc>
          <w:tcPr>
            <w:tcW w:w="297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 xml:space="preserve">　○○○商店</w:t>
            </w:r>
          </w:p>
        </w:tc>
      </w:tr>
      <w:tr w:rsidR="00C60C50" w:rsidTr="005C6BEB">
        <w:tblPrEx>
          <w:tblCellMar>
            <w:top w:w="0" w:type="dxa"/>
            <w:bottom w:w="0" w:type="dxa"/>
          </w:tblCellMar>
        </w:tblPrEx>
        <w:trPr>
          <w:trHeight w:val="322"/>
        </w:trPr>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解体自動車全部利用者</w:t>
            </w:r>
          </w:p>
        </w:tc>
        <w:tc>
          <w:tcPr>
            <w:tcW w:w="297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 xml:space="preserve">　△△△製鉄</w:t>
            </w:r>
          </w:p>
        </w:tc>
      </w:tr>
    </w:tbl>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⑷　</w:t>
      </w:r>
      <w:r>
        <w:rPr>
          <w:rFonts w:ascii="ＭＳ 明朝" w:eastAsia="HG丸ｺﾞｼｯｸM-PRO" w:cs="HG丸ｺﾞｼｯｸM-PRO" w:hint="eastAsia"/>
          <w:sz w:val="24"/>
          <w:szCs w:val="24"/>
        </w:rPr>
        <w:t>生活環境の保全上支障が生じないよう必要な措置</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【移動型施設の場合】</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○圧縮は、移動先の事業所内で行い、かつ、周辺に影響が少なく、床面が鉄筋コンク　　　リートで舗装された場所で行い、道路上では作業しない。</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○近隣に住宅がある場所では、早朝・夜間は作業しない。</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lastRenderedPageBreak/>
        <w:t xml:space="preserve">　　○廃油・廃液の漏出があった場合には、直ちにウエス等で拭き取り、現状回復を図る。　　　また、解体業者に対し、廃油・廃液の確実な回収を促す。</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６　解体自動車の破砕の方法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破砕の手順（プレシュレッダ＋シュレッダの場合）</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自動車以外のもの（家電、自動販売機等）の混入がないことを確認し、プレシュレ　　ッダに投入する。</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解体自動車をシュレッダ機に投入し、細かく破砕加工した後、機器（磁気選別機等）　　により有用金属（鉄、アルミニウム等）を回収する。</w:t>
      </w:r>
    </w:p>
    <w:p w:rsidR="00C60C50" w:rsidRDefault="00C60C50" w:rsidP="00C60C50">
      <w:pPr>
        <w:rPr>
          <w:rFonts w:ascii="ＭＳ 明朝" w:cstheme="minorBidi"/>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2"/>
      </w:tblGrid>
      <w:tr w:rsidR="00C60C50" w:rsidTr="005C6BEB">
        <w:tblPrEx>
          <w:tblCellMar>
            <w:top w:w="0" w:type="dxa"/>
            <w:bottom w:w="0" w:type="dxa"/>
          </w:tblCellMar>
        </w:tblPrEx>
        <w:trPr>
          <w:trHeight w:val="2576"/>
        </w:trPr>
        <w:tc>
          <w:tcPr>
            <w:tcW w:w="837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破砕の状況の写真</w:t>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７　自動車破砕残さの保管の方法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保管設備の構造、使用方法等</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【屋根がある場合】</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○屋根、鉄筋コンクリート床面、排水処理施設のある保管施設で保管する。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【屋根がない場合】</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○排水処理施設により、汚水の処理を行う。</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○床面は鉄筋コンクリート構造であるが、汚水の地下浸透を防止するため、床面のひ　　　び割れ等があれば、早急に補修を行う。</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○破砕残さの飛散又は流出がないように、必要に応じて防塵ネットを用いる。</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保管方法等</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破砕残さの飛散又は流出が起こらないように保管する。</w:t>
      </w:r>
    </w:p>
    <w:p w:rsidR="00C60C50" w:rsidRDefault="00C60C50" w:rsidP="00C60C50">
      <w:pPr>
        <w:ind w:firstLineChars="100" w:firstLine="220"/>
        <w:rPr>
          <w:rFonts w:ascii="ＭＳ 明朝" w:cstheme="minorBidi"/>
        </w:rPr>
      </w:pPr>
      <w:r>
        <w:rPr>
          <w:rFonts w:cs="ＭＳ 明朝" w:hint="eastAsia"/>
        </w:rPr>
        <w:t xml:space="preserve">⑶　</w:t>
      </w:r>
      <w:r>
        <w:rPr>
          <w:rFonts w:ascii="ＭＳ 明朝" w:eastAsia="HG丸ｺﾞｼｯｸM-PRO" w:cs="HG丸ｺﾞｼｯｸM-PRO" w:hint="eastAsia"/>
          <w:sz w:val="24"/>
          <w:szCs w:val="24"/>
        </w:rPr>
        <w:t>破砕残さ以外の他の残さを混入しないための方法</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ＡＳＲとそれ以外残さ（ＳＲ）とを区分して保管する。</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４　排水処理施設の管理の方法（排水処理施設を設置する場合に限る）</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【油水分離装置による場合】　</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○バキュームにより浮遊油を除去する。</w:t>
      </w:r>
    </w:p>
    <w:p w:rsidR="00C60C50" w:rsidRDefault="00C60C50" w:rsidP="00C60C50">
      <w:pPr>
        <w:rPr>
          <w:rFonts w:ascii="ＭＳ 明朝" w:cstheme="minorBidi"/>
        </w:rPr>
      </w:pPr>
      <w:r>
        <w:rPr>
          <w:rFonts w:ascii="ＭＳ 明朝" w:eastAsia="HG丸ｺﾞｼｯｸM-PRO" w:cs="HG丸ｺﾞｼｯｸM-PRO" w:hint="eastAsia"/>
          <w:sz w:val="24"/>
          <w:szCs w:val="24"/>
        </w:rPr>
        <w:lastRenderedPageBreak/>
        <w:t xml:space="preserve">　　○毎日、各種の蓋を開け、油膜の状況、槽のひび割れの状態を確認する。</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○廃油、汚泥は、定期的に引きぬき、産業廃棄物処理業の許可を持つ○○清掃㈱（許　　　可番号○○○○○）に処理を委託する。</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2"/>
      </w:tblGrid>
      <w:tr w:rsidR="00C60C50" w:rsidTr="005C6BEB">
        <w:tblPrEx>
          <w:tblCellMar>
            <w:top w:w="0" w:type="dxa"/>
            <w:bottom w:w="0" w:type="dxa"/>
          </w:tblCellMar>
        </w:tblPrEx>
        <w:trPr>
          <w:trHeight w:val="2576"/>
        </w:trPr>
        <w:tc>
          <w:tcPr>
            <w:tcW w:w="837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油水分離装置の写真</w:t>
            </w:r>
          </w:p>
        </w:tc>
      </w:tr>
    </w:tbl>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【排水処理施設による場合】</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○管理マニュアルに基づいて管理を行う。</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2"/>
      </w:tblGrid>
      <w:tr w:rsidR="00C60C50" w:rsidTr="005C6BEB">
        <w:tblPrEx>
          <w:tblCellMar>
            <w:top w:w="0" w:type="dxa"/>
            <w:bottom w:w="0" w:type="dxa"/>
          </w:tblCellMar>
        </w:tblPrEx>
        <w:trPr>
          <w:trHeight w:val="2576"/>
        </w:trPr>
        <w:tc>
          <w:tcPr>
            <w:tcW w:w="837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排水処理施設の写真</w:t>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９　破砕業の用に供する施設の保守点検</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保守点検計画</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次のとおり、保守点検箇所・チェックポイント、頻度を定めた保守点検計画に基づ　　き、保守点検を実施する。この計画は、毎事業年度当初に見直し作業を行う。</w:t>
      </w:r>
    </w:p>
    <w:p w:rsidR="00C60C50" w:rsidRDefault="00C60C50" w:rsidP="00C60C50">
      <w:pPr>
        <w:rPr>
          <w:rFonts w:ascii="ＭＳ 明朝" w:cstheme="minorBidi"/>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085"/>
        <w:gridCol w:w="2313"/>
        <w:gridCol w:w="1652"/>
      </w:tblGrid>
      <w:tr w:rsidR="00C60C50" w:rsidTr="005C6BEB">
        <w:tblPrEx>
          <w:tblCellMar>
            <w:top w:w="0" w:type="dxa"/>
            <w:bottom w:w="0" w:type="dxa"/>
          </w:tblCellMar>
        </w:tblPrEx>
        <w:trPr>
          <w:trHeight w:val="322"/>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区分</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点検箇所・ポイント</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点検時期</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保守方法</w:t>
            </w:r>
          </w:p>
        </w:tc>
      </w:tr>
      <w:tr w:rsidR="00C60C50" w:rsidTr="005C6BEB">
        <w:tblPrEx>
          <w:tblCellMar>
            <w:top w:w="0" w:type="dxa"/>
            <w:bottom w:w="0" w:type="dxa"/>
          </w:tblCellMar>
        </w:tblPrEx>
        <w:trPr>
          <w:trHeight w:val="1610"/>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１　プレス機</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２　せん断機</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３　一次破砕機</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４　破砕機</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５　選別機</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破損の有無</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１回／月</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直ちに応急措置した後、本格補修</w:t>
            </w: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６　コンベア</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②異常音の有無</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①１回／週</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②毎日（始業時）</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７　囲い等</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②施錠の適否</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①１回／月</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②毎日（作業終了時）</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trHeight w:val="966"/>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８　床面</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①ひび割れの有無</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②鉄板溶接部の隙間の有無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③油膜の有無</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毎日（始業時）</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①直ちに補修</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②直ちに補修</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③直ちに補修</w:t>
            </w: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lastRenderedPageBreak/>
              <w:t>９　排水処理施設</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①放流水質</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②堆積物の量</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①随時</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②１回／週（金曜日）</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②除去</w:t>
            </w: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１０　排水溝</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②ごみ・異物の撤去</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①随時</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②１回／週（金曜日）</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①直ちに補修</w:t>
            </w: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１１　公害防止機器</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②貯留量の確認</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１回／週（金曜日）</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１０　火災予防上の措置</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危険物への対応</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管理者の選任</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危険物の取り扱いに関する管理者を選任する。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危険物保安監督者：</w:t>
      </w:r>
      <w:r>
        <w:rPr>
          <w:rFonts w:ascii="ＭＳ 明朝" w:eastAsia="HG丸ｺﾞｼｯｸM-PRO" w:cs="HG丸ｺﾞｼｯｸM-PRO" w:hint="eastAsia"/>
          <w:sz w:val="24"/>
          <w:szCs w:val="24"/>
          <w:u w:val="single" w:color="000000"/>
        </w:rPr>
        <w:t xml:space="preserve">　　　　　　　　　　　</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危険物管理責任者：</w:t>
      </w:r>
      <w:r>
        <w:rPr>
          <w:rFonts w:ascii="ＭＳ 明朝" w:eastAsia="HG丸ｺﾞｼｯｸM-PRO" w:cs="HG丸ｺﾞｼｯｸM-PRO" w:hint="eastAsia"/>
          <w:sz w:val="24"/>
          <w:szCs w:val="24"/>
          <w:u w:val="single" w:color="000000"/>
        </w:rPr>
        <w:t xml:space="preserve">　　　　　　　　　　　</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消火器の設置場所、本数等</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別図のとおり（消火設備の配置図を添付）</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決められた場所以外で火気を使用する場合は、防火責任者の許可を得る。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消火器、表示盤、看板の点検を実施する。（３ヶ月に１回、防火責任者）</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⑤</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喫煙場所以外では喫煙しない。</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1"/>
      </w:tblGrid>
      <w:tr w:rsidR="00C60C50" w:rsidTr="005C6BEB">
        <w:tblPrEx>
          <w:tblCellMar>
            <w:top w:w="0" w:type="dxa"/>
            <w:bottom w:w="0" w:type="dxa"/>
          </w:tblCellMar>
        </w:tblPrEx>
        <w:trPr>
          <w:trHeight w:val="966"/>
        </w:trPr>
        <w:tc>
          <w:tcPr>
            <w:tcW w:w="8261"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消火器の配置状況の写真</w:t>
            </w:r>
          </w:p>
        </w:tc>
      </w:tr>
    </w:tbl>
    <w:p w:rsidR="00C60C50" w:rsidRDefault="00C60C50" w:rsidP="00C60C50">
      <w:pPr>
        <w:rPr>
          <w:rFonts w:ascii="ＭＳ 明朝" w:eastAsia="HG丸ｺﾞｼｯｸM-PRO" w:cs="HG丸ｺﾞｼｯｸM-PRO" w:hint="eastAsia"/>
          <w:sz w:val="24"/>
          <w:szCs w:val="24"/>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労働安全衛生法への対応</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アセチレン溶接装置等を使用して溶断する場合</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作業主任者</w:t>
      </w:r>
      <w:r>
        <w:rPr>
          <w:rFonts w:ascii="ＭＳ 明朝" w:eastAsia="HG丸ｺﾞｼｯｸM-PRO" w:cs="HG丸ｺﾞｼｯｸM-PRO" w:hint="eastAsia"/>
          <w:sz w:val="24"/>
          <w:szCs w:val="24"/>
          <w:u w:val="single" w:color="000000"/>
        </w:rPr>
        <w:t xml:space="preserve">　　　　　　　　　　　</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⑶　</w:t>
      </w:r>
      <w:r>
        <w:rPr>
          <w:rFonts w:ascii="ＭＳ 明朝" w:eastAsia="HG丸ｺﾞｼｯｸM-PRO" w:cs="HG丸ｺﾞｼｯｸM-PRO" w:hint="eastAsia"/>
          <w:sz w:val="24"/>
          <w:szCs w:val="24"/>
        </w:rPr>
        <w:t>緊急通報体制図</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火災等の事故の発生時に備え、連絡先を記載した連絡通報体制図を作業場及び事務　　所の見やすい場所に掲げる。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また、警察、消防、労働基準監督署等に連絡する。</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緊急連絡体制図（電話番号を記入する。）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542"/>
        <w:gridCol w:w="661"/>
        <w:gridCol w:w="3195"/>
        <w:gridCol w:w="661"/>
        <w:gridCol w:w="3084"/>
      </w:tblGrid>
      <w:tr w:rsidR="00C60C50" w:rsidTr="005C6BEB">
        <w:tblPrEx>
          <w:tblCellMar>
            <w:top w:w="0" w:type="dxa"/>
            <w:bottom w:w="0" w:type="dxa"/>
          </w:tblCellMar>
        </w:tblPrEx>
        <w:trPr>
          <w:cantSplit/>
          <w:trHeight w:val="322"/>
        </w:trPr>
        <w:tc>
          <w:tcPr>
            <w:tcW w:w="2588" w:type="dxa"/>
            <w:gridSpan w:val="3"/>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作業責任者名</w:t>
            </w: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自宅電話○○－○○○○</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携帯電話△△－△△△△</w:t>
            </w:r>
          </w:p>
        </w:tc>
        <w:tc>
          <w:tcPr>
            <w:tcW w:w="661" w:type="dxa"/>
            <w:vMerge w:val="restart"/>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084"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事業所責任者名</w:t>
            </w: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自宅電話○○－○○○○</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携帯電話△△－△△△△</w:t>
            </w:r>
          </w:p>
        </w:tc>
      </w:tr>
      <w:tr w:rsidR="00C60C50" w:rsidTr="005C6BEB">
        <w:tblPrEx>
          <w:tblCellMar>
            <w:top w:w="0" w:type="dxa"/>
            <w:bottom w:w="0" w:type="dxa"/>
          </w:tblCellMar>
        </w:tblPrEx>
        <w:trPr>
          <w:cantSplit/>
          <w:trHeight w:val="644"/>
        </w:trPr>
        <w:tc>
          <w:tcPr>
            <w:tcW w:w="385" w:type="dxa"/>
            <w:vMerge w:val="restart"/>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542" w:type="dxa"/>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第一発見者</w:t>
            </w:r>
          </w:p>
        </w:tc>
        <w:tc>
          <w:tcPr>
            <w:tcW w:w="661" w:type="dxa"/>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385" w:type="dxa"/>
            <w:vMerge/>
            <w:tcBorders>
              <w:top w:val="nil"/>
              <w:left w:val="nil"/>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195"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cantSplit/>
          <w:trHeight w:val="644"/>
        </w:trPr>
        <w:tc>
          <w:tcPr>
            <w:tcW w:w="2588" w:type="dxa"/>
            <w:gridSpan w:val="3"/>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bl>
    <w:p w:rsidR="00C60C50" w:rsidRDefault="00C60C50" w:rsidP="00C60C50">
      <w:pPr>
        <w:rPr>
          <w:rFonts w:ascii="ＭＳ 明朝" w:cstheme="minorBidi" w:hint="eastAsia"/>
        </w:rPr>
      </w:pPr>
    </w:p>
    <w:p w:rsidR="00C60C50" w:rsidRDefault="00C60C50" w:rsidP="00C60C50">
      <w:pPr>
        <w:rPr>
          <w:rFonts w:ascii="ＭＳ 明朝" w:cstheme="minorBidi"/>
        </w:rPr>
      </w:pPr>
      <w:bookmarkStart w:id="0" w:name="_GoBack"/>
      <w:bookmarkEnd w:id="0"/>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lastRenderedPageBreak/>
        <w:t xml:space="preserve">⑷　</w:t>
      </w:r>
      <w:r>
        <w:rPr>
          <w:rFonts w:ascii="ＭＳ 明朝" w:eastAsia="HG丸ｺﾞｼｯｸM-PRO" w:cs="HG丸ｺﾞｼｯｸM-PRO" w:hint="eastAsia"/>
          <w:sz w:val="24"/>
          <w:szCs w:val="24"/>
        </w:rPr>
        <w:t>従業員への周知・教育・訓練</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危険物の取り扱い、高圧ガスの取り扱い等について従業員全員が理解・実践できるよう年○○○回、周知・教育を実施する。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また、必要に応じ、緊急時における措置について訓練を行う。</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周知・教育項目</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○消火器等消火設備の取り扱い方法</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○緊急時（火災時）の対応方法</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１１　自動車破砕残さの運搬方法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自社車輌による運搬</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破砕残さはダンプ、コンテナバンに搭載し、被覆シートで覆いをして雨による濡れ、飛散流出がないように輸送する。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5"/>
        <w:gridCol w:w="2643"/>
        <w:gridCol w:w="3195"/>
      </w:tblGrid>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使用車種</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最大積載量</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登録番号</w:t>
            </w:r>
          </w:p>
        </w:tc>
      </w:tr>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クレーン付きダンプ</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４</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○○あ○○○○</w:t>
            </w:r>
          </w:p>
        </w:tc>
      </w:tr>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平ボディー車</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２</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○○い○○○○</w:t>
            </w:r>
          </w:p>
        </w:tc>
      </w:tr>
    </w:tbl>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運搬に当たっては、廃棄物の収集運搬基準を遵守する。</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廃棄物処理法の収集運搬業の許可業者への委託</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委託する場合は廃棄物収集運搬業の許可を有する次の者へ委託することとする。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864"/>
        <w:gridCol w:w="1322"/>
        <w:gridCol w:w="2534"/>
      </w:tblGrid>
      <w:tr w:rsidR="00C60C50" w:rsidTr="005C6BEB">
        <w:tblPrEx>
          <w:tblCellMar>
            <w:top w:w="0" w:type="dxa"/>
            <w:bottom w:w="0" w:type="dxa"/>
          </w:tblCellMar>
        </w:tblPrEx>
        <w:trPr>
          <w:trHeight w:val="322"/>
        </w:trPr>
        <w:tc>
          <w:tcPr>
            <w:tcW w:w="143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○○金属</w:t>
            </w:r>
          </w:p>
        </w:tc>
        <w:tc>
          <w:tcPr>
            <w:tcW w:w="132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trHeight w:val="322"/>
        </w:trPr>
        <w:tc>
          <w:tcPr>
            <w:tcW w:w="143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○○自動車</w:t>
            </w:r>
          </w:p>
        </w:tc>
        <w:tc>
          <w:tcPr>
            <w:tcW w:w="132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bl>
    <w:p w:rsidR="00C60C50" w:rsidRDefault="00C60C50" w:rsidP="00C60C50">
      <w:pPr>
        <w:rPr>
          <w:rFonts w:ascii="ＭＳ 明朝" w:cstheme="minorBidi"/>
        </w:rPr>
      </w:pPr>
    </w:p>
    <w:p w:rsidR="00BA3315" w:rsidRDefault="00BA3315"/>
    <w:sectPr w:rsidR="00BA3315" w:rsidSect="00C60C50">
      <w:headerReference w:type="default" r:id="rId5"/>
      <w:footerReference w:type="default" r:id="rId6"/>
      <w:pgSz w:w="11906" w:h="16838"/>
      <w:pgMar w:top="1304" w:right="964" w:bottom="1020" w:left="1248" w:header="720" w:footer="720" w:gutter="0"/>
      <w:pgNumType w:start="1"/>
      <w:cols w:space="720"/>
      <w:noEndnote/>
      <w:docGrid w:type="linesAndChar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C50">
    <w:pPr>
      <w:framePr w:wrap="auto" w:vAnchor="text" w:hAnchor="margin" w:xAlign="center" w:y="1"/>
      <w:jc w:val="center"/>
      <w:rPr>
        <w:rFonts w:ascii="ＭＳ 明朝" w:cstheme="minorBidi"/>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r>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C50">
    <w:pPr>
      <w:overflowPunct/>
      <w:autoSpaceDE w:val="0"/>
      <w:autoSpaceDN w:val="0"/>
      <w:jc w:val="left"/>
      <w:textAlignment w:val="auto"/>
      <w:rPr>
        <w:rFonts w:ascii="ＭＳ 明朝" w:cstheme="minorBidi"/>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91"/>
    <w:rsid w:val="002D2091"/>
    <w:rsid w:val="00651E44"/>
    <w:rsid w:val="00BA3315"/>
    <w:rsid w:val="00C6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50"/>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50"/>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header" Target="header1.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691</Words>
  <Characters>3939</Characters>
  <Application>Microsoft Office Word</Application>
  <DocSecurity>0</DocSecurity>
  <Lines>32</Lines>
  <Paragraphs>9</Paragraphs>
  <ScaleCrop>false</ScaleCrop>
  <Company>鳥取市</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2</cp:revision>
  <dcterms:created xsi:type="dcterms:W3CDTF">2018-04-02T07:41:00Z</dcterms:created>
  <dcterms:modified xsi:type="dcterms:W3CDTF">2018-04-02T07:46:00Z</dcterms:modified>
</cp:coreProperties>
</file>