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46160">
      <w:pPr>
        <w:autoSpaceDE w:val="0"/>
        <w:autoSpaceDN w:val="0"/>
        <w:adjustRightInd w:val="0"/>
        <w:spacing w:line="360" w:lineRule="atLeast"/>
        <w:jc w:val="left"/>
        <w:rPr>
          <w:rFonts w:ascii="ＭＳ 明朝" w:eastAsia="ＭＳ 明朝" w:hAnsi="ＭＳ 明朝" w:cs="ＭＳ 明朝"/>
          <w:color w:val="000000"/>
          <w:kern w:val="0"/>
          <w:sz w:val="18"/>
          <w:szCs w:val="18"/>
        </w:rPr>
      </w:pPr>
      <w:bookmarkStart w:id="0" w:name="_GoBack"/>
      <w:bookmarkEnd w:id="0"/>
      <w:r>
        <w:rPr>
          <w:rFonts w:ascii="ＭＳ 明朝" w:eastAsia="ＭＳ 明朝" w:hAnsi="ＭＳ 明朝" w:cs="ＭＳ 明朝" w:hint="eastAsia"/>
          <w:color w:val="000000"/>
          <w:kern w:val="0"/>
          <w:sz w:val="18"/>
          <w:szCs w:val="18"/>
        </w:rPr>
        <w:t>鳥取県福祉のまちづくり条例</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平成２０年鳥取県条例第２号</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新旧対照表</w:t>
      </w:r>
    </w:p>
    <w:tbl>
      <w:tblPr>
        <w:tblW w:w="0" w:type="auto"/>
        <w:tblInd w:w="102" w:type="dxa"/>
        <w:tblLayout w:type="fixed"/>
        <w:tblCellMar>
          <w:left w:w="0" w:type="dxa"/>
          <w:right w:w="0" w:type="dxa"/>
        </w:tblCellMar>
        <w:tblLook w:val="0000" w:firstRow="0" w:lastRow="0" w:firstColumn="0" w:lastColumn="0" w:noHBand="0" w:noVBand="0"/>
      </w:tblPr>
      <w:tblGrid>
        <w:gridCol w:w="4251"/>
        <w:gridCol w:w="4251"/>
      </w:tblGrid>
      <w:tr w:rsidR="00000000">
        <w:tblPrEx>
          <w:tblCellMar>
            <w:top w:w="0" w:type="dxa"/>
            <w:left w:w="0" w:type="dxa"/>
            <w:bottom w:w="0" w:type="dxa"/>
            <w:right w:w="0" w:type="dxa"/>
          </w:tblCellMar>
        </w:tblPrEx>
        <w:trPr>
          <w:trHeight w:val="617"/>
        </w:trPr>
        <w:tc>
          <w:tcPr>
            <w:tcW w:w="4251" w:type="dxa"/>
            <w:tcBorders>
              <w:top w:val="single" w:sz="4" w:space="0" w:color="000000"/>
              <w:left w:val="single" w:sz="4" w:space="0" w:color="000000"/>
              <w:bottom w:val="single" w:sz="4" w:space="0" w:color="000000"/>
              <w:right w:val="single" w:sz="4" w:space="0" w:color="000000"/>
            </w:tcBorders>
            <w:tcMar>
              <w:left w:w="102" w:type="dxa"/>
              <w:right w:w="102" w:type="dxa"/>
            </w:tcMar>
            <w:vAlign w:val="center"/>
          </w:tcPr>
          <w:p w:rsidR="00000000" w:rsidRDefault="00546160">
            <w:pPr>
              <w:wordWrap w:val="0"/>
              <w:autoSpaceDE w:val="0"/>
              <w:autoSpaceDN w:val="0"/>
              <w:adjustRightInd w:val="0"/>
              <w:spacing w:line="180" w:lineRule="atLeast"/>
              <w:ind w:left="20"/>
              <w:jc w:val="center"/>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改　正　後</w:t>
            </w:r>
          </w:p>
        </w:tc>
        <w:tc>
          <w:tcPr>
            <w:tcW w:w="4251" w:type="dxa"/>
            <w:tcBorders>
              <w:top w:val="single" w:sz="4" w:space="0" w:color="000000"/>
              <w:left w:val="nil"/>
              <w:bottom w:val="single" w:sz="4" w:space="0" w:color="000000"/>
              <w:right w:val="single" w:sz="4" w:space="0" w:color="000000"/>
            </w:tcBorders>
            <w:tcMar>
              <w:left w:w="102" w:type="dxa"/>
              <w:right w:w="102" w:type="dxa"/>
            </w:tcMar>
            <w:vAlign w:val="center"/>
          </w:tcPr>
          <w:p w:rsidR="00000000" w:rsidRDefault="00546160">
            <w:pPr>
              <w:wordWrap w:val="0"/>
              <w:autoSpaceDE w:val="0"/>
              <w:autoSpaceDN w:val="0"/>
              <w:adjustRightInd w:val="0"/>
              <w:spacing w:line="180" w:lineRule="atLeast"/>
              <w:ind w:left="20"/>
              <w:jc w:val="center"/>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改　正　前</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建築の規模の引下げ</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建築の規模の引下げ</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第１４条　法第１４条第３項の条例で定める建築</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用途の変更をして特別特定建築物にすることを含む。以下同じ。</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の規模は、別表第１の左欄に掲げる区分に応じ、それぞれ同表の</w:t>
            </w:r>
            <w:r>
              <w:rPr>
                <w:rFonts w:ascii="ＭＳ 明朝" w:eastAsia="ＭＳ 明朝" w:hAnsi="ＭＳ 明朝" w:cs="ＭＳ 明朝" w:hint="eastAsia"/>
                <w:color w:val="000000"/>
                <w:kern w:val="0"/>
                <w:sz w:val="18"/>
                <w:szCs w:val="18"/>
              </w:rPr>
              <w:t>右欄に定める規模</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当該規模に満たない特別特定建築物の建築</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以下この条において「小規模建築」という。</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をする場合において、当該特別特定建築物の床面積</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増築若しくは改築又は用途の変更</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以下「増築等」という。</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の場合にあっては、当該増築等に係る部分</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耐震改修により増加する部分を除く。</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の床面積。以下同じ。</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の合計に当該特別特定建築物と同一の敷地内に建築する他の特別特定建築物</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公衆便所を除く。</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の床面積の合計を加えた面積が１，０００平方メートル以上となるときは、当該小規模建築の規模</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とする。ただし、床面積の合計が２</w:t>
            </w:r>
            <w:r>
              <w:rPr>
                <w:rFonts w:ascii="ＭＳ 明朝" w:eastAsia="ＭＳ 明朝" w:hAnsi="ＭＳ 明朝" w:cs="ＭＳ 明朝" w:hint="eastAsia"/>
                <w:color w:val="000000"/>
                <w:kern w:val="0"/>
                <w:sz w:val="18"/>
                <w:szCs w:val="18"/>
              </w:rPr>
              <w:t>００平方メートル未満の建築物について用途の変更をして特別特定建築物にする場合は、建築物移動等円滑化基準のうち次に掲げるものは、適用しない。</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第１４条　法第１４条第３項の条例で定める建築</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用途の変更をして特別特定建築物にすることを含む。以下同じ。</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の規模は、別表第１の左欄に掲げる区分に応じ、それぞれ同表の右欄に定める規模</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当該規模に満たない特別特定建築物の建築</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以下この条において「小規模建築」という。</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をする場合において、当該特別特定建築物の床面積</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増築若しくは改築又は用途の変更</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以下「増築等」という。</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の場</w:t>
            </w:r>
            <w:r>
              <w:rPr>
                <w:rFonts w:ascii="ＭＳ 明朝" w:eastAsia="ＭＳ 明朝" w:hAnsi="ＭＳ 明朝" w:cs="ＭＳ 明朝" w:hint="eastAsia"/>
                <w:color w:val="000000"/>
                <w:kern w:val="0"/>
                <w:sz w:val="18"/>
                <w:szCs w:val="18"/>
              </w:rPr>
              <w:t>合にあっては、当該増築等に係る部分</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耐震改修により増加する部分を除く。</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の床面積。以下同じ。</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の合計に当該特別特定建築物と同一の敷地内に建築する他の特別特定建築物</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公衆便所を除く。</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の床面積の合計を加えた面積が１，０００平方メートル以上となるときは、当該小規模建築の規模</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とする。ただし、床面積の合計が２００平方メートル未満の建築物について用途の変更をして特別特定建築物にする場合は、建築物移動等円滑化基準のうち次に掲げるものは、適用しない。</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（１）　令第１８条第２項第１号、第３号、第４号及び第７号</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これらの</w:t>
            </w:r>
            <w:r>
              <w:rPr>
                <w:rFonts w:ascii="ＭＳ 明朝" w:eastAsia="ＭＳ 明朝" w:hAnsi="ＭＳ 明朝" w:cs="ＭＳ 明朝" w:hint="eastAsia"/>
                <w:color w:val="000000"/>
                <w:kern w:val="0"/>
                <w:sz w:val="18"/>
                <w:szCs w:val="18"/>
                <w:u w:val="single"/>
              </w:rPr>
              <w:t>規定を令第２５条第１項</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同条第３項において読み替えて適用する場合を含む。</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において読み替えて準用する場合を含む。</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rPr>
              <w:t>に定める基準</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（１）　令第１８条第２項第１号、第３号、第４号及び第７号に定める基準</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主たる出入口に係る令第１８条第２項第２号イ</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令第２５条第１項</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同条第３項において読み替えて適用する場合を含む。</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において読み替えて準用する場合を含む。</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rPr>
              <w:t>に定める基準</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幅７０センチメートルを超える部分に限る。</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主たる出入口に係る令第１８条第２項第２号イに定める基準</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幅７０センチメートルを超える部</w:t>
            </w:r>
            <w:r>
              <w:rPr>
                <w:rFonts w:ascii="ＭＳ 明朝" w:eastAsia="ＭＳ 明朝" w:hAnsi="ＭＳ 明朝" w:cs="ＭＳ 明朝" w:hint="eastAsia"/>
                <w:color w:val="000000"/>
                <w:kern w:val="0"/>
                <w:sz w:val="18"/>
                <w:szCs w:val="18"/>
              </w:rPr>
              <w:t>分に限る。</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（３）　便所の出入口に係る令第１８条第２項第２号</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令第２５条第１項</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同条第３項において読み替えて適用する場合を含む。</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において読み替えて準用する場合を含む。</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rPr>
              <w:t>に定める基準</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（３）　便所の出入口に係る令第１８条第２項第２号に定める基準</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lastRenderedPageBreak/>
              <w:t>(</w:t>
            </w:r>
            <w:r>
              <w:rPr>
                <w:rFonts w:ascii="ＭＳ 明朝" w:eastAsia="ＭＳ 明朝" w:hAnsi="ＭＳ 明朝" w:cs="ＭＳ 明朝" w:hint="eastAsia"/>
                <w:color w:val="000000"/>
                <w:kern w:val="0"/>
                <w:sz w:val="18"/>
                <w:szCs w:val="18"/>
              </w:rPr>
              <w:t>建築物移動等円滑化基準の付加等</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建築物移動等円滑化基準の付加等</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第１５条　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第１５条　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２</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u w:val="single"/>
              </w:rPr>
              <w:t>条例対象小規模特別特定建築物については、前項の規定にかかわらず、法第１４条第３項の条例で建築物移動等円滑化基準に付加する事項は、令第１１条から第１７条ま</w:t>
            </w:r>
            <w:r>
              <w:rPr>
                <w:rFonts w:ascii="ＭＳ 明朝" w:eastAsia="ＭＳ 明朝" w:hAnsi="ＭＳ 明朝" w:cs="ＭＳ 明朝" w:hint="eastAsia"/>
                <w:color w:val="000000"/>
                <w:kern w:val="0"/>
                <w:sz w:val="18"/>
                <w:szCs w:val="18"/>
                <w:u w:val="single"/>
              </w:rPr>
              <w:t>で及び第２０条から第２４条までに定める事項の例によるもの、次条から第２３条までに定める事項並びに別表第２に定める事項とする。</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３</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u w:val="single"/>
              </w:rPr>
              <w:t>前２項</w:t>
            </w:r>
            <w:r>
              <w:rPr>
                <w:rFonts w:ascii="ＭＳ 明朝" w:eastAsia="ＭＳ 明朝" w:hAnsi="ＭＳ 明朝" w:cs="ＭＳ 明朝" w:hint="eastAsia"/>
                <w:color w:val="000000"/>
                <w:kern w:val="0"/>
                <w:sz w:val="18"/>
                <w:szCs w:val="18"/>
              </w:rPr>
              <w:t>の事項は、この条例に別段の定めのある場合を除くほか、前条に定める規模の特別特定建築物の建築についても適用する。</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２</w:t>
            </w:r>
            <w:r>
              <w:rPr>
                <w:rFonts w:ascii="ＭＳ 明朝" w:eastAsia="ＭＳ 明朝" w:hAnsi="ＭＳ 明朝" w:cs="ＭＳ 明朝" w:hint="eastAsia"/>
                <w:color w:val="000000"/>
                <w:kern w:val="0"/>
                <w:sz w:val="18"/>
                <w:szCs w:val="18"/>
              </w:rPr>
              <w:t xml:space="preserve">　</w:t>
            </w:r>
            <w:r>
              <w:rPr>
                <w:rFonts w:ascii="ＭＳ 明朝" w:eastAsia="ＭＳ 明朝" w:hAnsi="ＭＳ 明朝" w:cs="ＭＳ 明朝" w:hint="eastAsia"/>
                <w:color w:val="000000"/>
                <w:kern w:val="0"/>
                <w:sz w:val="18"/>
                <w:szCs w:val="18"/>
                <w:u w:val="single"/>
              </w:rPr>
              <w:t>前項</w:t>
            </w:r>
            <w:r>
              <w:rPr>
                <w:rFonts w:ascii="ＭＳ 明朝" w:eastAsia="ＭＳ 明朝" w:hAnsi="ＭＳ 明朝" w:cs="ＭＳ 明朝" w:hint="eastAsia"/>
                <w:color w:val="000000"/>
                <w:kern w:val="0"/>
                <w:sz w:val="18"/>
                <w:szCs w:val="18"/>
              </w:rPr>
              <w:t>の事項は、この条例に別段の定めのある場合を除くほか、前条に定める規模の特別特定建築物の建築についても適用する。</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便所</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便所</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第１７条　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第１７条　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前項の便所のうち１以上</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男子用及び女子用の区別があるときは、それぞれ１以上</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は、次</w:t>
            </w:r>
            <w:r>
              <w:rPr>
                <w:rFonts w:ascii="ＭＳ 明朝" w:eastAsia="ＭＳ 明朝" w:hAnsi="ＭＳ 明朝" w:cs="ＭＳ 明朝" w:hint="eastAsia"/>
                <w:color w:val="000000"/>
                <w:kern w:val="0"/>
                <w:sz w:val="18"/>
                <w:szCs w:val="18"/>
              </w:rPr>
              <w:t>に掲げるものでなければならない。</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前項の便所のうち１以上</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男子用及び女子用の区別があるときは、それぞれ１以上</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は、次に掲げるものでなければならない。</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（１）　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（１）　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（２）　</w:t>
            </w:r>
            <w:r>
              <w:rPr>
                <w:rFonts w:ascii="ＭＳ 明朝" w:eastAsia="ＭＳ 明朝" w:hAnsi="ＭＳ 明朝" w:cs="ＭＳ 明朝" w:hint="eastAsia"/>
                <w:color w:val="000000"/>
                <w:kern w:val="0"/>
                <w:sz w:val="18"/>
                <w:szCs w:val="18"/>
                <w:u w:val="single"/>
              </w:rPr>
              <w:t>別表第３</w:t>
            </w:r>
            <w:r>
              <w:rPr>
                <w:rFonts w:ascii="ＭＳ 明朝" w:eastAsia="ＭＳ 明朝" w:hAnsi="ＭＳ 明朝" w:cs="ＭＳ 明朝" w:hint="eastAsia"/>
                <w:color w:val="000000"/>
                <w:kern w:val="0"/>
                <w:sz w:val="18"/>
                <w:szCs w:val="18"/>
              </w:rPr>
              <w:t>の左欄に掲げる特別特定建築物の建築をする場合において、当該建築の規模が同表の右欄に定める規模であるときは、ベビーベッドその他の乳幼児のおむつの交換ができる設備を設けるとともに、当該便所の出入口にその旨の表示を行うこと。ただし、他におむつの交換ができる場所を設ける場合は、この限りでない。</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（２）　</w:t>
            </w:r>
            <w:r>
              <w:rPr>
                <w:rFonts w:ascii="ＭＳ 明朝" w:eastAsia="ＭＳ 明朝" w:hAnsi="ＭＳ 明朝" w:cs="ＭＳ 明朝" w:hint="eastAsia"/>
                <w:color w:val="000000"/>
                <w:kern w:val="0"/>
                <w:sz w:val="18"/>
                <w:szCs w:val="18"/>
                <w:u w:val="single"/>
              </w:rPr>
              <w:t>別表第２</w:t>
            </w:r>
            <w:r>
              <w:rPr>
                <w:rFonts w:ascii="ＭＳ 明朝" w:eastAsia="ＭＳ 明朝" w:hAnsi="ＭＳ 明朝" w:cs="ＭＳ 明朝" w:hint="eastAsia"/>
                <w:color w:val="000000"/>
                <w:kern w:val="0"/>
                <w:sz w:val="18"/>
                <w:szCs w:val="18"/>
              </w:rPr>
              <w:t>の左欄に掲</w:t>
            </w:r>
            <w:r>
              <w:rPr>
                <w:rFonts w:ascii="ＭＳ 明朝" w:eastAsia="ＭＳ 明朝" w:hAnsi="ＭＳ 明朝" w:cs="ＭＳ 明朝" w:hint="eastAsia"/>
                <w:color w:val="000000"/>
                <w:kern w:val="0"/>
                <w:sz w:val="18"/>
                <w:szCs w:val="18"/>
              </w:rPr>
              <w:t>げる特別特定建築物の建築をする場合において、当該建築の規模が同表の右欄に定める規模であるときは、ベビーベッドその他の乳幼児のおむつの交換ができる設備を設けるとともに、当該便所の出入口にその旨の表示を行うこと。ただし、他におむつの交換ができる場所を設ける場合は、この限りでない。</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（３）　</w:t>
            </w:r>
            <w:r>
              <w:rPr>
                <w:rFonts w:ascii="ＭＳ 明朝" w:eastAsia="ＭＳ 明朝" w:hAnsi="ＭＳ 明朝" w:cs="ＭＳ 明朝" w:hint="eastAsia"/>
                <w:color w:val="000000"/>
                <w:kern w:val="0"/>
                <w:sz w:val="18"/>
                <w:szCs w:val="18"/>
                <w:u w:val="single"/>
              </w:rPr>
              <w:t>別表第４</w:t>
            </w:r>
            <w:r>
              <w:rPr>
                <w:rFonts w:ascii="ＭＳ 明朝" w:eastAsia="ＭＳ 明朝" w:hAnsi="ＭＳ 明朝" w:cs="ＭＳ 明朝" w:hint="eastAsia"/>
                <w:color w:val="000000"/>
                <w:kern w:val="0"/>
                <w:sz w:val="18"/>
                <w:szCs w:val="18"/>
              </w:rPr>
              <w:t>の左欄に掲げる特別特定建築物の建築をする場合において、当該建築の規模が同表の右欄に定める規模であるときは、次に掲げる設備をいずれも１以上設けるとともに、当該便所の出入口にその旨の表示を行うこと。</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（３）　</w:t>
            </w:r>
            <w:r>
              <w:rPr>
                <w:rFonts w:ascii="ＭＳ 明朝" w:eastAsia="ＭＳ 明朝" w:hAnsi="ＭＳ 明朝" w:cs="ＭＳ 明朝" w:hint="eastAsia"/>
                <w:color w:val="000000"/>
                <w:kern w:val="0"/>
                <w:sz w:val="18"/>
                <w:szCs w:val="18"/>
                <w:u w:val="single"/>
              </w:rPr>
              <w:t>別表第３</w:t>
            </w:r>
            <w:r>
              <w:rPr>
                <w:rFonts w:ascii="ＭＳ 明朝" w:eastAsia="ＭＳ 明朝" w:hAnsi="ＭＳ 明朝" w:cs="ＭＳ 明朝" w:hint="eastAsia"/>
                <w:color w:val="000000"/>
                <w:kern w:val="0"/>
                <w:sz w:val="18"/>
                <w:szCs w:val="18"/>
              </w:rPr>
              <w:t>の左</w:t>
            </w:r>
            <w:r>
              <w:rPr>
                <w:rFonts w:ascii="ＭＳ 明朝" w:eastAsia="ＭＳ 明朝" w:hAnsi="ＭＳ 明朝" w:cs="ＭＳ 明朝" w:hint="eastAsia"/>
                <w:color w:val="000000"/>
                <w:kern w:val="0"/>
                <w:sz w:val="18"/>
                <w:szCs w:val="18"/>
              </w:rPr>
              <w:t>欄に掲げる特別特定建築物の建築をする場合において、当該建築の規模が同表の右欄に定める規模であるときは、次に掲げる設備をいずれも１以上設けるとともに、当該便所の出入口にその旨の表示を行うこと。</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ア　ベビーベッドその他の乳幼児のおむつの交換ができる設備</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他におむつの交換ができる場所を設ける場合を除く。</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ア　ベビーベッドその他の乳幼児のおむつの交換ができる設備</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他におむつの交換ができる場所を設ける場合を除く。</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イ　高齢者、障害者等が円滑に利用することができる構造の水洗器具を設けた便房</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イ　高齢者、障害者等</w:t>
            </w:r>
            <w:r>
              <w:rPr>
                <w:rFonts w:ascii="ＭＳ 明朝" w:eastAsia="ＭＳ 明朝" w:hAnsi="ＭＳ 明朝" w:cs="ＭＳ 明朝" w:hint="eastAsia"/>
                <w:color w:val="000000"/>
                <w:kern w:val="0"/>
                <w:sz w:val="18"/>
                <w:szCs w:val="18"/>
              </w:rPr>
              <w:t>が円滑に利用することができる構造の水洗器具を設けた便房</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３　車いす使用者用便房は、次に掲げるものでな</w:t>
            </w:r>
            <w:r>
              <w:rPr>
                <w:rFonts w:ascii="ＭＳ 明朝" w:eastAsia="ＭＳ 明朝" w:hAnsi="ＭＳ 明朝" w:cs="ＭＳ 明朝" w:hint="eastAsia"/>
                <w:color w:val="000000"/>
                <w:kern w:val="0"/>
                <w:sz w:val="18"/>
                <w:szCs w:val="18"/>
              </w:rPr>
              <w:lastRenderedPageBreak/>
              <w:t>ければならない。</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３　車いす使用者用便房は、次に掲げるものでな</w:t>
            </w:r>
            <w:r>
              <w:rPr>
                <w:rFonts w:ascii="ＭＳ 明朝" w:eastAsia="ＭＳ 明朝" w:hAnsi="ＭＳ 明朝" w:cs="ＭＳ 明朝" w:hint="eastAsia"/>
                <w:color w:val="000000"/>
                <w:kern w:val="0"/>
                <w:sz w:val="18"/>
                <w:szCs w:val="18"/>
              </w:rPr>
              <w:lastRenderedPageBreak/>
              <w:t>ければならない。</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（１）・（２）　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（１）・（２）　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（３）　</w:t>
            </w:r>
            <w:r>
              <w:rPr>
                <w:rFonts w:ascii="ＭＳ 明朝" w:eastAsia="ＭＳ 明朝" w:hAnsi="ＭＳ 明朝" w:cs="ＭＳ 明朝" w:hint="eastAsia"/>
                <w:color w:val="000000"/>
                <w:kern w:val="0"/>
                <w:sz w:val="18"/>
                <w:szCs w:val="18"/>
                <w:u w:val="single"/>
              </w:rPr>
              <w:t>別表第５</w:t>
            </w:r>
            <w:r>
              <w:rPr>
                <w:rFonts w:ascii="ＭＳ 明朝" w:eastAsia="ＭＳ 明朝" w:hAnsi="ＭＳ 明朝" w:cs="ＭＳ 明朝" w:hint="eastAsia"/>
                <w:color w:val="000000"/>
                <w:kern w:val="0"/>
                <w:sz w:val="18"/>
                <w:szCs w:val="18"/>
              </w:rPr>
              <w:t>の左欄に掲げる特別特定建築物の建築をする場合において、当該建築の規模が同表の右欄に定める規模であるときは、ベッドその他の高齢者、障害者等が円滑に衣類又は装身具の交換ができる設備を設け、当該便房及びその設置されている便所の出入口にその旨の表示を行うこと。</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（３）　</w:t>
            </w:r>
            <w:r>
              <w:rPr>
                <w:rFonts w:ascii="ＭＳ 明朝" w:eastAsia="ＭＳ 明朝" w:hAnsi="ＭＳ 明朝" w:cs="ＭＳ 明朝" w:hint="eastAsia"/>
                <w:color w:val="000000"/>
                <w:kern w:val="0"/>
                <w:sz w:val="18"/>
                <w:szCs w:val="18"/>
                <w:u w:val="single"/>
              </w:rPr>
              <w:t>別表第４</w:t>
            </w:r>
            <w:r>
              <w:rPr>
                <w:rFonts w:ascii="ＭＳ 明朝" w:eastAsia="ＭＳ 明朝" w:hAnsi="ＭＳ 明朝" w:cs="ＭＳ 明朝" w:hint="eastAsia"/>
                <w:color w:val="000000"/>
                <w:kern w:val="0"/>
                <w:sz w:val="18"/>
                <w:szCs w:val="18"/>
              </w:rPr>
              <w:t>の左欄に掲げる特別特定建築物の建築をする場合において、当該建築の規模が同表の右欄に定める規模であるときは、ベッドその他の高齢者、障害者等が円滑に衣類又は装身具の交換ができる設備を設け、当該便房及びその設置されている便所の出入口にその旨の表示を行うこと。</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４・５　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４・５　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移動等円滑化経路</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移動等円滑化経路</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第１９条　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第１９条　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移動等円滑化経路は、次に掲げるものでなければならない。</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移動等円滑化経路は、次に掲げるものでなければならない。</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（１）　当該移動等円滑化経路を構</w:t>
            </w:r>
            <w:r>
              <w:rPr>
                <w:rFonts w:ascii="ＭＳ 明朝" w:eastAsia="ＭＳ 明朝" w:hAnsi="ＭＳ 明朝" w:cs="ＭＳ 明朝" w:hint="eastAsia"/>
                <w:color w:val="000000"/>
                <w:kern w:val="0"/>
                <w:sz w:val="18"/>
                <w:szCs w:val="18"/>
              </w:rPr>
              <w:t>成する出入口のうち屋外に面するものは、次に掲げるものであること。</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（１）　当該移動等円滑化経路を構成する出入口のうち屋外に面するものは、次に掲げるものであること。</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ア　出入りの際における降雨及び降雪の影響を少なくできるひさし又は屋根を設けること。ただし、次のいずれかに該当する場合は、この限りでない。</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ア　出入りの際における降雨及び降雪の影響を少なくできるひさし又は屋根を設けること。ただし、次のいずれかに該当する場合は、この限りでない。</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（ア）　当該出入口がアーケードその他の降雨及び降雪の影響の少ない場所</w:t>
            </w:r>
            <w:r>
              <w:rPr>
                <w:rFonts w:ascii="ＭＳ 明朝" w:eastAsia="ＭＳ 明朝" w:hAnsi="ＭＳ 明朝" w:cs="ＭＳ 明朝" w:hint="eastAsia"/>
                <w:color w:val="000000"/>
                <w:kern w:val="0"/>
                <w:sz w:val="18"/>
                <w:szCs w:val="18"/>
              </w:rPr>
              <w:t>に面する場合</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（ア）　当該出入口がアーケードその他の降雨及び降雪の影響の少ない場所に面する場合</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（イ）　増築等の場合において、当該出入口は改修されず、かつ、敷地境界線に接しているとき。</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（イ）　増築等の場合において、当該出入口は改修されず、かつ、敷地境界線に接しているとき。</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（ウ）　当該出入口に風除室を設ける場合</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（ウ）　当該出入口に風除室を設ける場合</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イ　</w:t>
            </w:r>
            <w:r>
              <w:rPr>
                <w:rFonts w:ascii="ＭＳ 明朝" w:eastAsia="ＭＳ 明朝" w:hAnsi="ＭＳ 明朝" w:cs="ＭＳ 明朝" w:hint="eastAsia"/>
                <w:color w:val="000000"/>
                <w:kern w:val="0"/>
                <w:sz w:val="18"/>
                <w:szCs w:val="18"/>
                <w:u w:val="single"/>
              </w:rPr>
              <w:t>別表第６</w:t>
            </w:r>
            <w:r>
              <w:rPr>
                <w:rFonts w:ascii="ＭＳ 明朝" w:eastAsia="ＭＳ 明朝" w:hAnsi="ＭＳ 明朝" w:cs="ＭＳ 明朝" w:hint="eastAsia"/>
                <w:color w:val="000000"/>
                <w:kern w:val="0"/>
                <w:sz w:val="18"/>
                <w:szCs w:val="18"/>
              </w:rPr>
              <w:t>の左欄に掲げる特別特定建築物の建築をする場合において、当該建築の規模が同表の右欄に定める規模であるときは、当該出入口の外側に音声により視覚</w:t>
            </w:r>
            <w:r>
              <w:rPr>
                <w:rFonts w:ascii="ＭＳ 明朝" w:eastAsia="ＭＳ 明朝" w:hAnsi="ＭＳ 明朝" w:cs="ＭＳ 明朝" w:hint="eastAsia"/>
                <w:color w:val="000000"/>
                <w:kern w:val="0"/>
                <w:sz w:val="18"/>
                <w:szCs w:val="18"/>
              </w:rPr>
              <w:t>障害者を誘導する設備を設けること。</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イ　</w:t>
            </w:r>
            <w:r>
              <w:rPr>
                <w:rFonts w:ascii="ＭＳ 明朝" w:eastAsia="ＭＳ 明朝" w:hAnsi="ＭＳ 明朝" w:cs="ＭＳ 明朝" w:hint="eastAsia"/>
                <w:color w:val="000000"/>
                <w:kern w:val="0"/>
                <w:sz w:val="18"/>
                <w:szCs w:val="18"/>
                <w:u w:val="single"/>
              </w:rPr>
              <w:t>別表第５</w:t>
            </w:r>
            <w:r>
              <w:rPr>
                <w:rFonts w:ascii="ＭＳ 明朝" w:eastAsia="ＭＳ 明朝" w:hAnsi="ＭＳ 明朝" w:cs="ＭＳ 明朝" w:hint="eastAsia"/>
                <w:color w:val="000000"/>
                <w:kern w:val="0"/>
                <w:sz w:val="18"/>
                <w:szCs w:val="18"/>
              </w:rPr>
              <w:t>の左欄に掲げる特別特定建築物の建築をする場合において、当該建築の規模が同表の右欄に定める規模であるときは、当該出入口の外側に音声により視覚障害者を誘導する設備を設けること。</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当該移動等円滑化経路を構成する廊下等は、次に掲げるものであること。</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当該移動等円滑化経路を構成する廊下等は、次に掲げるものであること。</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ア　末端付近は、車いすの転回に支障のない構造とすること。ただし、床面積の合計が２００平方メートル未満の建築物について用途の変更をして特</w:t>
            </w:r>
            <w:r>
              <w:rPr>
                <w:rFonts w:ascii="ＭＳ 明朝" w:eastAsia="ＭＳ 明朝" w:hAnsi="ＭＳ 明朝" w:cs="ＭＳ 明朝" w:hint="eastAsia"/>
                <w:color w:val="000000"/>
                <w:kern w:val="0"/>
                <w:sz w:val="18"/>
                <w:szCs w:val="18"/>
              </w:rPr>
              <w:t>別特定建築物にする場合は、この限りでない。</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ア　末端付近は、車いすの転回に支障のない構造とすること。ただし、床面積の合計が２００平方メートル未満の建築物について用途の変更をして特別特定建築物にする場合は、この限りでない。</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イ　</w:t>
            </w:r>
            <w:r>
              <w:rPr>
                <w:rFonts w:ascii="ＭＳ 明朝" w:eastAsia="ＭＳ 明朝" w:hAnsi="ＭＳ 明朝" w:cs="ＭＳ 明朝" w:hint="eastAsia"/>
                <w:color w:val="000000"/>
                <w:kern w:val="0"/>
                <w:sz w:val="18"/>
                <w:szCs w:val="18"/>
                <w:u w:val="single"/>
              </w:rPr>
              <w:t>別表第７</w:t>
            </w:r>
            <w:r>
              <w:rPr>
                <w:rFonts w:ascii="ＭＳ 明朝" w:eastAsia="ＭＳ 明朝" w:hAnsi="ＭＳ 明朝" w:cs="ＭＳ 明朝" w:hint="eastAsia"/>
                <w:color w:val="000000"/>
                <w:kern w:val="0"/>
                <w:sz w:val="18"/>
                <w:szCs w:val="18"/>
              </w:rPr>
              <w:t>の左欄に掲げる特別特定建築物の建築をする場合において、当該建築の規模が同表の右欄に定める規模であるときは、当該廊下等に近接した場所に乳幼児の授乳及びおむつの交換ができる場所を設け、当該場所の出入口にその旨の表示を行うこと。</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イ　</w:t>
            </w:r>
            <w:r>
              <w:rPr>
                <w:rFonts w:ascii="ＭＳ 明朝" w:eastAsia="ＭＳ 明朝" w:hAnsi="ＭＳ 明朝" w:cs="ＭＳ 明朝" w:hint="eastAsia"/>
                <w:color w:val="000000"/>
                <w:kern w:val="0"/>
                <w:sz w:val="18"/>
                <w:szCs w:val="18"/>
                <w:u w:val="single"/>
              </w:rPr>
              <w:t>別表第６</w:t>
            </w:r>
            <w:r>
              <w:rPr>
                <w:rFonts w:ascii="ＭＳ 明朝" w:eastAsia="ＭＳ 明朝" w:hAnsi="ＭＳ 明朝" w:cs="ＭＳ 明朝" w:hint="eastAsia"/>
                <w:color w:val="000000"/>
                <w:kern w:val="0"/>
                <w:sz w:val="18"/>
                <w:szCs w:val="18"/>
              </w:rPr>
              <w:t>の左欄に掲げる特別特定建築物の建築をする</w:t>
            </w:r>
            <w:r>
              <w:rPr>
                <w:rFonts w:ascii="ＭＳ 明朝" w:eastAsia="ＭＳ 明朝" w:hAnsi="ＭＳ 明朝" w:cs="ＭＳ 明朝" w:hint="eastAsia"/>
                <w:color w:val="000000"/>
                <w:kern w:val="0"/>
                <w:sz w:val="18"/>
                <w:szCs w:val="18"/>
              </w:rPr>
              <w:t>場合において、当該建築の規模が同表の右欄に定める規模であるときは、当該廊下等に近接した場所に乳幼児の授乳及びおむつの交換ができる場所を設け、当該場所の出入口にその旨の表示を行うこと。</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ウ　次に掲げる特別特定建築物の建築をする場合において、当該特別特定建築物の床面積の合計が１，０００平方メートル以上であるときは、当該廊下等に近接した場所に乳幼児を預かることができる部屋を設け、当該部屋の出入口にその旨の表示を行うこと。</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ウ　次に掲げる特別特定建築物の建築をする場合において、当該特別特定建築物の床面積の合計が１</w:t>
            </w:r>
            <w:r>
              <w:rPr>
                <w:rFonts w:ascii="ＭＳ 明朝" w:eastAsia="ＭＳ 明朝" w:hAnsi="ＭＳ 明朝" w:cs="ＭＳ 明朝" w:hint="eastAsia"/>
                <w:color w:val="000000"/>
                <w:kern w:val="0"/>
                <w:sz w:val="18"/>
                <w:szCs w:val="18"/>
              </w:rPr>
              <w:t>，０００平方メートル以上であるときは、当該廊下等に近接した場所に乳幼児を預かることができる部屋を設け、当該部屋の出入口にその旨の表示を行うこと。</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（ア）　劇場、観覧場、映画館又は演芸場</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（ア）　劇場、観覧場、映画館又は演芸場</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（イ）　公共体育館等</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一般公共の用に供される体育館又は水泳場をいう。以下同じ。</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若しくはボーリング場又は遊技場</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（イ）　公共体育館等</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一般公共の用に供される体育館又は水泳場をいう。以下同じ。</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若しくはボーリング場又は遊技場</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　次に掲げる特別特定建築物の建築をする場合において、当</w:t>
            </w:r>
            <w:r>
              <w:rPr>
                <w:rFonts w:ascii="ＭＳ 明朝" w:eastAsia="ＭＳ 明朝" w:hAnsi="ＭＳ 明朝" w:cs="ＭＳ 明朝" w:hint="eastAsia"/>
                <w:color w:val="000000"/>
                <w:kern w:val="0"/>
                <w:sz w:val="18"/>
                <w:szCs w:val="18"/>
              </w:rPr>
              <w:t>該特別特定建築物の床面積の合計が５，０００平方メートル以上であるときは、当該廊下等に高齢者、障害者等が休憩することができる場所を設け、休憩のための椅子その他の家具を置くこと。</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　次に掲げる特別特定建築物の建築をする場合において、当該特別特定建築物の床面積の合計が５，０００平方メートル以上であるときは、当該廊下等に高齢者、障害者等が休憩することができる場所を設け、休憩のための椅子その他の家具を置くこと。</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（ア）　劇場、観覧場、映画館又は演芸場</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（ア）　劇場、観覧場、映画館又は演芸場</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（イ）　集会場又は公</w:t>
            </w:r>
            <w:r>
              <w:rPr>
                <w:rFonts w:ascii="ＭＳ 明朝" w:eastAsia="ＭＳ 明朝" w:hAnsi="ＭＳ 明朝" w:cs="ＭＳ 明朝" w:hint="eastAsia"/>
                <w:color w:val="000000"/>
                <w:kern w:val="0"/>
                <w:sz w:val="18"/>
                <w:szCs w:val="18"/>
              </w:rPr>
              <w:t>会堂</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（イ）　集会場又は公会堂</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（ウ）　百貨店、マーケットその他の物品販売業を営む店舗</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（ウ）　百貨店、マーケットその他の物品販売業を営む店舗</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　ホテル</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宿泊者以外の利用がある場合に限る。</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　ホテル</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宿泊者以外の利用がある場合に限る。</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（オ）　保健所、税務署その他の不特定かつ多数の者が利用する官公署</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（オ）　保健所、税務署その他の不特定かつ多数の者が利用する官公署</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（カ）　公共体育館等若しくはボーリング場又は遊技場</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（カ）　公共体育館等若しくはボーリング場又は遊技場</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（キ）　博物館</w:t>
            </w:r>
            <w:r>
              <w:rPr>
                <w:rFonts w:ascii="ＭＳ 明朝" w:eastAsia="ＭＳ 明朝" w:hAnsi="ＭＳ 明朝" w:cs="ＭＳ 明朝" w:hint="eastAsia"/>
                <w:color w:val="000000"/>
                <w:kern w:val="0"/>
                <w:sz w:val="18"/>
                <w:szCs w:val="18"/>
              </w:rPr>
              <w:t>、美術館又は図書館</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（キ）　博物館、美術館又は図書館</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（ク）　車両の停車場又は船舶若しくは航空機の発着場を構成する建築物で旅客の乗降又は待合いの用に供するもの</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以下「ターミナル」という。</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（ク）　車両の停車場又は船舶若しくは航空機の発着場を構成する建築物で旅客の乗降又は待合いの用に供するもの</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以下「ターミナル」という。</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（３）～（５）　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（３）～（５）　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共同住宅の特例</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共同住宅の特例</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第２０条　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第２０条　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準移動等円滑化経路は、</w:t>
            </w:r>
            <w:r>
              <w:rPr>
                <w:rFonts w:ascii="ＭＳ 明朝" w:eastAsia="ＭＳ 明朝" w:hAnsi="ＭＳ 明朝" w:cs="ＭＳ 明朝" w:hint="eastAsia"/>
                <w:color w:val="000000"/>
                <w:kern w:val="0"/>
                <w:sz w:val="18"/>
                <w:szCs w:val="18"/>
                <w:u w:val="single"/>
              </w:rPr>
              <w:t>別表第８</w:t>
            </w:r>
            <w:r>
              <w:rPr>
                <w:rFonts w:ascii="ＭＳ 明朝" w:eastAsia="ＭＳ 明朝" w:hAnsi="ＭＳ 明朝" w:cs="ＭＳ 明朝" w:hint="eastAsia"/>
                <w:color w:val="000000"/>
                <w:kern w:val="0"/>
                <w:sz w:val="18"/>
                <w:szCs w:val="18"/>
              </w:rPr>
              <w:t>に掲げるものでなければならない。</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準移動等円滑化経路は、</w:t>
            </w:r>
            <w:r>
              <w:rPr>
                <w:rFonts w:ascii="ＭＳ 明朝" w:eastAsia="ＭＳ 明朝" w:hAnsi="ＭＳ 明朝" w:cs="ＭＳ 明朝" w:hint="eastAsia"/>
                <w:color w:val="000000"/>
                <w:kern w:val="0"/>
                <w:sz w:val="18"/>
                <w:szCs w:val="18"/>
                <w:u w:val="single"/>
              </w:rPr>
              <w:t>別表第７</w:t>
            </w:r>
            <w:r>
              <w:rPr>
                <w:rFonts w:ascii="ＭＳ 明朝" w:eastAsia="ＭＳ 明朝" w:hAnsi="ＭＳ 明朝" w:cs="ＭＳ 明朝" w:hint="eastAsia"/>
                <w:color w:val="000000"/>
                <w:kern w:val="0"/>
                <w:sz w:val="18"/>
                <w:szCs w:val="18"/>
              </w:rPr>
              <w:t>に掲げるものでなければならない。</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公益事業の事務所の特例</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公益事業の事務所の特例</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第２１条　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第２１条　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準視覚障害者移動等円滑化経路は、</w:t>
            </w:r>
            <w:r>
              <w:rPr>
                <w:rFonts w:ascii="ＭＳ 明朝" w:eastAsia="ＭＳ 明朝" w:hAnsi="ＭＳ 明朝" w:cs="ＭＳ 明朝" w:hint="eastAsia"/>
                <w:color w:val="000000"/>
                <w:kern w:val="0"/>
                <w:sz w:val="18"/>
                <w:szCs w:val="18"/>
                <w:u w:val="single"/>
              </w:rPr>
              <w:t>別表第９</w:t>
            </w:r>
            <w:r>
              <w:rPr>
                <w:rFonts w:ascii="ＭＳ 明朝" w:eastAsia="ＭＳ 明朝" w:hAnsi="ＭＳ 明朝" w:cs="ＭＳ 明朝" w:hint="eastAsia"/>
                <w:color w:val="000000"/>
                <w:kern w:val="0"/>
                <w:sz w:val="18"/>
                <w:szCs w:val="18"/>
              </w:rPr>
              <w:t>に掲げるものでなければならない。</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２　準視覚障害者移動等円滑化経路は、</w:t>
            </w:r>
            <w:r>
              <w:rPr>
                <w:rFonts w:ascii="ＭＳ 明朝" w:eastAsia="ＭＳ 明朝" w:hAnsi="ＭＳ 明朝" w:cs="ＭＳ 明朝" w:hint="eastAsia"/>
                <w:color w:val="000000"/>
                <w:kern w:val="0"/>
                <w:sz w:val="18"/>
                <w:szCs w:val="18"/>
                <w:u w:val="single"/>
              </w:rPr>
              <w:t>別表第８</w:t>
            </w:r>
            <w:r>
              <w:rPr>
                <w:rFonts w:ascii="ＭＳ 明朝" w:eastAsia="ＭＳ 明朝" w:hAnsi="ＭＳ 明朝" w:cs="ＭＳ 明朝" w:hint="eastAsia"/>
                <w:color w:val="000000"/>
                <w:kern w:val="0"/>
                <w:sz w:val="18"/>
                <w:szCs w:val="18"/>
              </w:rPr>
              <w:t>に掲げるものでなければならない。</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u w:val="single"/>
              </w:rPr>
              <w:t>公立小学校等及び</w:t>
            </w:r>
            <w:r>
              <w:rPr>
                <w:rFonts w:ascii="ＭＳ 明朝" w:eastAsia="ＭＳ 明朝" w:hAnsi="ＭＳ 明朝" w:cs="ＭＳ 明朝" w:hint="eastAsia"/>
                <w:color w:val="000000"/>
                <w:kern w:val="0"/>
                <w:sz w:val="18"/>
                <w:szCs w:val="18"/>
              </w:rPr>
              <w:t>追加した特別特定建築物に関する読替え</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追加した特別特定建築物に関する読替え</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第２３条　</w:t>
            </w:r>
            <w:r>
              <w:rPr>
                <w:rFonts w:ascii="ＭＳ 明朝" w:eastAsia="ＭＳ 明朝" w:hAnsi="ＭＳ 明朝" w:cs="ＭＳ 明朝" w:hint="eastAsia"/>
                <w:color w:val="000000"/>
                <w:kern w:val="0"/>
                <w:sz w:val="18"/>
                <w:szCs w:val="18"/>
                <w:u w:val="single"/>
              </w:rPr>
              <w:t>公立小学校等及び</w:t>
            </w:r>
            <w:r>
              <w:rPr>
                <w:rFonts w:ascii="ＭＳ 明朝" w:eastAsia="ＭＳ 明朝" w:hAnsi="ＭＳ 明朝" w:cs="ＭＳ 明朝" w:hint="eastAsia"/>
                <w:color w:val="000000"/>
                <w:kern w:val="0"/>
                <w:sz w:val="18"/>
                <w:szCs w:val="18"/>
              </w:rPr>
              <w:t>第１３条各号に掲げる特定建築物に対する第１７条第１項及び</w:t>
            </w:r>
            <w:r>
              <w:rPr>
                <w:rFonts w:ascii="ＭＳ 明朝" w:eastAsia="ＭＳ 明朝" w:hAnsi="ＭＳ 明朝" w:cs="ＭＳ 明朝" w:hint="eastAsia"/>
                <w:color w:val="000000"/>
                <w:kern w:val="0"/>
                <w:sz w:val="18"/>
                <w:szCs w:val="18"/>
                <w:u w:val="single"/>
              </w:rPr>
              <w:t>前条第１項</w:t>
            </w:r>
            <w:r>
              <w:rPr>
                <w:rFonts w:ascii="ＭＳ 明朝" w:eastAsia="ＭＳ 明朝" w:hAnsi="ＭＳ 明朝" w:cs="ＭＳ 明朝" w:hint="eastAsia"/>
                <w:color w:val="000000"/>
                <w:kern w:val="0"/>
                <w:sz w:val="18"/>
                <w:szCs w:val="18"/>
              </w:rPr>
              <w:t>の</w:t>
            </w:r>
            <w:r>
              <w:rPr>
                <w:rFonts w:ascii="ＭＳ 明朝" w:eastAsia="ＭＳ 明朝" w:hAnsi="ＭＳ 明朝" w:cs="ＭＳ 明朝" w:hint="eastAsia"/>
                <w:color w:val="000000"/>
                <w:kern w:val="0"/>
                <w:sz w:val="18"/>
                <w:szCs w:val="18"/>
              </w:rPr>
              <w:t>規定の適用については、これらの規定中「不特定かつ多数の者が利用し、又は主として高齢者、障害者等が利用する」とあるのは、「多数の者が利用する」とする。</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第２３条　第１３条各号に掲げる特定建築物に対する第１７条第１項及び</w:t>
            </w:r>
            <w:r>
              <w:rPr>
                <w:rFonts w:ascii="ＭＳ 明朝" w:eastAsia="ＭＳ 明朝" w:hAnsi="ＭＳ 明朝" w:cs="ＭＳ 明朝" w:hint="eastAsia"/>
                <w:color w:val="000000"/>
                <w:kern w:val="0"/>
                <w:sz w:val="18"/>
                <w:szCs w:val="18"/>
                <w:u w:val="single"/>
              </w:rPr>
              <w:t>前条</w:t>
            </w:r>
            <w:r>
              <w:rPr>
                <w:rFonts w:ascii="ＭＳ 明朝" w:eastAsia="ＭＳ 明朝" w:hAnsi="ＭＳ 明朝" w:cs="ＭＳ 明朝" w:hint="eastAsia"/>
                <w:color w:val="000000"/>
                <w:kern w:val="0"/>
                <w:sz w:val="18"/>
                <w:szCs w:val="18"/>
              </w:rPr>
              <w:t>の規定の適用については、これらの規定中「不特定かつ多数の者が利用し、又は主として高齢者、障害者等が利用する」とあるのは、「多数の者が利用する」とする。</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別表第１</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第１４条関係</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別表第１</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第１４条関係</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tbl>
            <w:tblPr>
              <w:tblW w:w="0" w:type="auto"/>
              <w:tblLayout w:type="fixed"/>
              <w:tblCellMar>
                <w:left w:w="0" w:type="dxa"/>
                <w:right w:w="0" w:type="dxa"/>
              </w:tblCellMar>
              <w:tblLook w:val="0000" w:firstRow="0" w:lastRow="0" w:firstColumn="0" w:lastColumn="0" w:noHBand="0" w:noVBand="0"/>
            </w:tblPr>
            <w:tblGrid>
              <w:gridCol w:w="890"/>
              <w:gridCol w:w="1740"/>
              <w:gridCol w:w="1376"/>
            </w:tblGrid>
            <w:tr w:rsidR="00000000">
              <w:tblPrEx>
                <w:tblCellMar>
                  <w:top w:w="0" w:type="dxa"/>
                  <w:left w:w="0" w:type="dxa"/>
                  <w:bottom w:w="0" w:type="dxa"/>
                  <w:right w:w="0" w:type="dxa"/>
                </w:tblCellMar>
              </w:tblPrEx>
              <w:tc>
                <w:tcPr>
                  <w:tcW w:w="2630" w:type="dxa"/>
                  <w:gridSpan w:val="2"/>
                  <w:tcBorders>
                    <w:top w:val="single" w:sz="4" w:space="0" w:color="000000"/>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区分</w:t>
                  </w:r>
                </w:p>
              </w:tc>
              <w:tc>
                <w:tcPr>
                  <w:tcW w:w="1376" w:type="dxa"/>
                  <w:tcBorders>
                    <w:top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規模</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公立小学校等</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令第１８条第２項第５号に定める基準を適用する場合</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以下「</w:t>
                  </w:r>
                  <w:r>
                    <w:rPr>
                      <w:rFonts w:ascii="ＭＳ 明朝" w:eastAsia="ＭＳ 明朝" w:hAnsi="ＭＳ 明朝" w:cs="ＭＳ 明朝" w:hint="eastAsia"/>
                      <w:color w:val="000000"/>
                      <w:kern w:val="0"/>
                      <w:sz w:val="18"/>
                      <w:szCs w:val="18"/>
                    </w:rPr>
                    <w:t>エレベーターの場合」という。</w:t>
                  </w:r>
                  <w:r>
                    <w:rPr>
                      <w:rFonts w:ascii="ＭＳ 明朝" w:eastAsia="ＭＳ 明朝" w:hAnsi="ＭＳ 明朝" w:cs="ＭＳ 明朝"/>
                      <w:color w:val="000000"/>
                      <w:kern w:val="0"/>
                      <w:sz w:val="18"/>
                      <w:szCs w:val="18"/>
                    </w:rPr>
                    <w:t>)</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令第１４条第１項に定める基準を除く。</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特別支援学校</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各種学校又は専修学校</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令第１４条第１項に定める基準を適用する場合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床面積の合計２，０００平方メートル以上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令第１８条第２項第２号</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主たる出入口に適用する場合に限る。</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及び第７号に定める基準を適用する場合</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以</w:t>
                  </w:r>
                  <w:r>
                    <w:rPr>
                      <w:rFonts w:ascii="ＭＳ 明朝" w:eastAsia="ＭＳ 明朝" w:hAnsi="ＭＳ 明朝" w:cs="ＭＳ 明朝" w:hint="eastAsia"/>
                      <w:color w:val="000000"/>
                      <w:kern w:val="0"/>
                      <w:sz w:val="18"/>
                      <w:szCs w:val="18"/>
                    </w:rPr>
                    <w:t>下「玄関及び敷地内通路の場合」という。</w:t>
                  </w:r>
                  <w:r>
                    <w:rPr>
                      <w:rFonts w:ascii="ＭＳ 明朝" w:eastAsia="ＭＳ 明朝" w:hAnsi="ＭＳ 明朝" w:cs="ＭＳ 明朝"/>
                      <w:color w:val="000000"/>
                      <w:kern w:val="0"/>
                      <w:sz w:val="18"/>
                      <w:szCs w:val="18"/>
                    </w:rPr>
                    <w:t>)</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床面積の合計５００平方メートル以上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公立小学校等、特別支援学校、各種学校又は専修学校以外の学校</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令第１４条第１項に定める基準を適用する場合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床面積の合計２，０００平方メートル以上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病院</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w:t>
                  </w:r>
                  <w:r>
                    <w:rPr>
                      <w:rFonts w:ascii="ＭＳ 明朝" w:eastAsia="ＭＳ 明朝" w:hAnsi="ＭＳ 明朝" w:cs="ＭＳ 明朝" w:hint="eastAsia"/>
                      <w:color w:val="000000"/>
                      <w:kern w:val="0"/>
                      <w:sz w:val="18"/>
                      <w:szCs w:val="18"/>
                    </w:rPr>
                    <w:t>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診療所</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劇場、観覧場、映画館又は演芸場</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集会所又は公会堂</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w:t>
                  </w:r>
                  <w:r>
                    <w:rPr>
                      <w:rFonts w:ascii="ＭＳ 明朝" w:eastAsia="ＭＳ 明朝" w:hAnsi="ＭＳ 明朝" w:cs="ＭＳ 明朝" w:hint="eastAsia"/>
                      <w:color w:val="000000"/>
                      <w:kern w:val="0"/>
                      <w:sz w:val="18"/>
                      <w:szCs w:val="18"/>
                    </w:rPr>
                    <w:t>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展示場</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床面積の合計５００平方メートル以上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百貨店、マーケットその他の物品販売業を営む店舗</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ホテル又は旅館</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w:t>
                  </w:r>
                  <w:r>
                    <w:rPr>
                      <w:rFonts w:ascii="ＭＳ 明朝" w:eastAsia="ＭＳ 明朝" w:hAnsi="ＭＳ 明朝" w:cs="ＭＳ 明朝" w:hint="eastAsia"/>
                      <w:color w:val="000000"/>
                      <w:kern w:val="0"/>
                      <w:sz w:val="18"/>
                      <w:szCs w:val="18"/>
                    </w:rPr>
                    <w:t>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客室の総数が１０以上、かつ、床面積の合計２００平方メートル以上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公益事業の事務所</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保健所、税務署その他の不特定かつ多数の者が利用する官公署</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共同住宅、</w:t>
                  </w:r>
                  <w:r>
                    <w:rPr>
                      <w:rFonts w:ascii="ＭＳ 明朝" w:eastAsia="ＭＳ 明朝" w:hAnsi="ＭＳ 明朝" w:cs="ＭＳ 明朝" w:hint="eastAsia"/>
                      <w:color w:val="000000"/>
                      <w:kern w:val="0"/>
                      <w:sz w:val="18"/>
                      <w:szCs w:val="18"/>
                    </w:rPr>
                    <w:t>寄宿舎又は下宿</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老人ホーム、保育所、福祉ホームその他これらに類するもの</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老人福祉センター、児童厚生施設、身体障害者福祉センターその他これらに類するもの</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w:t>
                  </w:r>
                  <w:r>
                    <w:rPr>
                      <w:rFonts w:ascii="ＭＳ 明朝" w:eastAsia="ＭＳ 明朝" w:hAnsi="ＭＳ 明朝" w:cs="ＭＳ 明朝" w:hint="eastAsia"/>
                      <w:color w:val="000000"/>
                      <w:kern w:val="0"/>
                      <w:sz w:val="18"/>
                      <w:szCs w:val="18"/>
                    </w:rPr>
                    <w:t>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公共体育館等又はボーリング場</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遊技場</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第１３条第５号に掲げる体育館、水泳場、ボーリング場その他これらに類する運動施設</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w:t>
                  </w:r>
                  <w:r>
                    <w:rPr>
                      <w:rFonts w:ascii="ＭＳ 明朝" w:eastAsia="ＭＳ 明朝" w:hAnsi="ＭＳ 明朝" w:cs="ＭＳ 明朝" w:hint="eastAsia"/>
                      <w:color w:val="000000"/>
                      <w:kern w:val="0"/>
                      <w:sz w:val="18"/>
                      <w:szCs w:val="18"/>
                    </w:rPr>
                    <w:t>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床面積の合計５００平方メートル以上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博物館、美術館又は図書館</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公衆浴場</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床面積の合計５００平方メートル以上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飲食店又は</w:t>
                  </w:r>
                  <w:r>
                    <w:rPr>
                      <w:rFonts w:ascii="ＭＳ 明朝" w:eastAsia="ＭＳ 明朝" w:hAnsi="ＭＳ 明朝" w:cs="ＭＳ 明朝" w:hint="eastAsia"/>
                      <w:color w:val="000000"/>
                      <w:kern w:val="0"/>
                      <w:sz w:val="18"/>
                      <w:szCs w:val="18"/>
                    </w:rPr>
                    <w:t>クリーニング取次店、質屋、貸衣装屋、銀行その他これらに類するサービス業を営む店舗</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理髪店、美容院その他これらに類するサービス業を営む店舗</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床面積の合計２００平方メートル以上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自動車</w:t>
                  </w:r>
                  <w:r>
                    <w:rPr>
                      <w:rFonts w:ascii="ＭＳ 明朝" w:eastAsia="ＭＳ 明朝" w:hAnsi="ＭＳ 明朝" w:cs="ＭＳ 明朝" w:hint="eastAsia"/>
                      <w:color w:val="000000"/>
                      <w:kern w:val="0"/>
                      <w:sz w:val="18"/>
                      <w:szCs w:val="18"/>
                    </w:rPr>
                    <w:t>教習所等</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床面積の合計５００平方メートル以上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ターミナル</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自動車の停留又は駐車のための施設</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一般公共の用に供されるものに限る。</w:t>
                  </w:r>
                  <w:r>
                    <w:rPr>
                      <w:rFonts w:ascii="ＭＳ 明朝" w:eastAsia="ＭＳ 明朝" w:hAnsi="ＭＳ 明朝" w:cs="ＭＳ 明朝"/>
                      <w:color w:val="000000"/>
                      <w:kern w:val="0"/>
                      <w:sz w:val="18"/>
                      <w:szCs w:val="18"/>
                    </w:rPr>
                    <w:t>)</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w:t>
                  </w:r>
                  <w:r>
                    <w:rPr>
                      <w:rFonts w:ascii="ＭＳ 明朝" w:eastAsia="ＭＳ 明朝" w:hAnsi="ＭＳ 明朝" w:cs="ＭＳ 明朝" w:hint="eastAsia"/>
                      <w:color w:val="000000"/>
                      <w:kern w:val="0"/>
                      <w:sz w:val="18"/>
                      <w:szCs w:val="18"/>
                    </w:rPr>
                    <w:t>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公衆便所</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床面積の合計５０平方メートル以上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公共用歩廊</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bl>
          <w:p w:rsidR="00000000" w:rsidRDefault="00546160">
            <w:pPr>
              <w:autoSpaceDE w:val="0"/>
              <w:autoSpaceDN w:val="0"/>
              <w:adjustRightInd w:val="0"/>
              <w:jc w:val="left"/>
              <w:rPr>
                <w:rFonts w:ascii="Arial" w:hAnsi="Arial" w:cs="Arial"/>
                <w:kern w:val="0"/>
                <w:sz w:val="24"/>
                <w:szCs w:val="24"/>
              </w:rPr>
            </w:pPr>
          </w:p>
        </w:tc>
        <w:tc>
          <w:tcPr>
            <w:tcW w:w="4251" w:type="dxa"/>
            <w:tcBorders>
              <w:top w:val="nil"/>
              <w:left w:val="nil"/>
              <w:bottom w:val="nil"/>
              <w:right w:val="single" w:sz="4" w:space="0" w:color="000000"/>
            </w:tcBorders>
            <w:tcMar>
              <w:top w:w="22" w:type="dxa"/>
              <w:left w:w="102" w:type="dxa"/>
              <w:bottom w:w="22" w:type="dxa"/>
              <w:right w:w="102" w:type="dxa"/>
            </w:tcMar>
          </w:tcPr>
          <w:tbl>
            <w:tblPr>
              <w:tblW w:w="0" w:type="auto"/>
              <w:tblLayout w:type="fixed"/>
              <w:tblCellMar>
                <w:left w:w="0" w:type="dxa"/>
                <w:right w:w="0" w:type="dxa"/>
              </w:tblCellMar>
              <w:tblLook w:val="0000" w:firstRow="0" w:lastRow="0" w:firstColumn="0" w:lastColumn="0" w:noHBand="0" w:noVBand="0"/>
            </w:tblPr>
            <w:tblGrid>
              <w:gridCol w:w="890"/>
              <w:gridCol w:w="1740"/>
              <w:gridCol w:w="1376"/>
            </w:tblGrid>
            <w:tr w:rsidR="00000000">
              <w:tblPrEx>
                <w:tblCellMar>
                  <w:top w:w="0" w:type="dxa"/>
                  <w:left w:w="0" w:type="dxa"/>
                  <w:bottom w:w="0" w:type="dxa"/>
                  <w:right w:w="0" w:type="dxa"/>
                </w:tblCellMar>
              </w:tblPrEx>
              <w:tc>
                <w:tcPr>
                  <w:tcW w:w="2630" w:type="dxa"/>
                  <w:gridSpan w:val="2"/>
                  <w:tcBorders>
                    <w:top w:val="single" w:sz="4" w:space="0" w:color="000000"/>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区分</w:t>
                  </w:r>
                </w:p>
              </w:tc>
              <w:tc>
                <w:tcPr>
                  <w:tcW w:w="1376" w:type="dxa"/>
                  <w:tcBorders>
                    <w:top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規模</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小学校、中学校、義務教育学校若しくは中等教育学校</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前期課程に係るものに限る。</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で公立のもの</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以下「</w:t>
                  </w:r>
                  <w:r>
                    <w:rPr>
                      <w:rFonts w:ascii="ＭＳ 明朝" w:eastAsia="ＭＳ 明朝" w:hAnsi="ＭＳ 明朝" w:cs="ＭＳ 明朝" w:hint="eastAsia"/>
                      <w:color w:val="000000"/>
                      <w:kern w:val="0"/>
                      <w:sz w:val="18"/>
                      <w:szCs w:val="18"/>
                    </w:rPr>
                    <w:t>公立小学校等</w:t>
                  </w:r>
                  <w:r>
                    <w:rPr>
                      <w:rFonts w:ascii="ＭＳ 明朝" w:eastAsia="ＭＳ 明朝" w:hAnsi="ＭＳ 明朝" w:cs="ＭＳ 明朝" w:hint="eastAsia"/>
                      <w:color w:val="000000"/>
                      <w:kern w:val="0"/>
                      <w:sz w:val="18"/>
                      <w:szCs w:val="18"/>
                      <w:u w:val="single"/>
                    </w:rPr>
                    <w:t>」という。</w:t>
                  </w:r>
                  <w:r>
                    <w:rPr>
                      <w:rFonts w:ascii="ＭＳ 明朝" w:eastAsia="ＭＳ 明朝" w:hAnsi="ＭＳ 明朝" w:cs="ＭＳ 明朝"/>
                      <w:color w:val="000000"/>
                      <w:kern w:val="0"/>
                      <w:sz w:val="18"/>
                      <w:szCs w:val="18"/>
                      <w:u w:val="single"/>
                    </w:rPr>
                    <w:t>)</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令第１８条第２項第５号に定める基準を適用する場合</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以下「エレベーターの場合」という。</w:t>
                  </w:r>
                  <w:r>
                    <w:rPr>
                      <w:rFonts w:ascii="ＭＳ 明朝" w:eastAsia="ＭＳ 明朝" w:hAnsi="ＭＳ 明朝" w:cs="ＭＳ 明朝"/>
                      <w:color w:val="000000"/>
                      <w:kern w:val="0"/>
                      <w:sz w:val="18"/>
                      <w:szCs w:val="18"/>
                    </w:rPr>
                    <w:t>)</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w:t>
                  </w:r>
                  <w:r>
                    <w:rPr>
                      <w:rFonts w:ascii="ＭＳ 明朝" w:eastAsia="ＭＳ 明朝" w:hAnsi="ＭＳ 明朝" w:cs="ＭＳ 明朝" w:hint="eastAsia"/>
                      <w:color w:val="000000"/>
                      <w:kern w:val="0"/>
                      <w:sz w:val="18"/>
                      <w:szCs w:val="18"/>
                    </w:rPr>
                    <w:t>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令第１４条第１項に定める基準を除く。</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特別支援学校</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各種学校又は専修学校</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令第１４条第１項に定める基準を適用する場合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床面積の合計２，０００平方メートル以上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令第１８条第２項第２号</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主たる出入口に適用する場合に限る。</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及び第７号に定める基準を適用する場合</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以下「玄関及び敷地内通路の場合」という。</w:t>
                  </w:r>
                  <w:r>
                    <w:rPr>
                      <w:rFonts w:ascii="ＭＳ 明朝" w:eastAsia="ＭＳ 明朝" w:hAnsi="ＭＳ 明朝" w:cs="ＭＳ 明朝"/>
                      <w:color w:val="000000"/>
                      <w:kern w:val="0"/>
                      <w:sz w:val="18"/>
                      <w:szCs w:val="18"/>
                    </w:rPr>
                    <w:t>)</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w:t>
                  </w:r>
                  <w:r>
                    <w:rPr>
                      <w:rFonts w:ascii="ＭＳ 明朝" w:eastAsia="ＭＳ 明朝" w:hAnsi="ＭＳ 明朝" w:cs="ＭＳ 明朝" w:hint="eastAsia"/>
                      <w:color w:val="000000"/>
                      <w:kern w:val="0"/>
                      <w:sz w:val="18"/>
                      <w:szCs w:val="18"/>
                    </w:rPr>
                    <w:t>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床面積の合計５００平方メートル以上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公立小学校等、特別支援学校、各種学校又は専修学校以外の学校</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令第１４条第１項に定める基準を適用する場合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床面積の合計２，０００平方メートル以上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病院</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w:t>
                  </w:r>
                  <w:r>
                    <w:rPr>
                      <w:rFonts w:ascii="ＭＳ 明朝" w:eastAsia="ＭＳ 明朝" w:hAnsi="ＭＳ 明朝" w:cs="ＭＳ 明朝" w:hint="eastAsia"/>
                      <w:color w:val="000000"/>
                      <w:kern w:val="0"/>
                      <w:sz w:val="18"/>
                      <w:szCs w:val="18"/>
                    </w:rPr>
                    <w:t>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診療所</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劇場、観覧場、映画館又は演芸場</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集会所又は公会堂</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展示場</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床面積の合計５００平方メートル以上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百貨店、マーケットその他の物品販売業を営む店舗</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ホテル又は旅館</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w:t>
                  </w:r>
                  <w:r>
                    <w:rPr>
                      <w:rFonts w:ascii="ＭＳ 明朝" w:eastAsia="ＭＳ 明朝" w:hAnsi="ＭＳ 明朝" w:cs="ＭＳ 明朝" w:hint="eastAsia"/>
                      <w:color w:val="000000"/>
                      <w:kern w:val="0"/>
                      <w:sz w:val="18"/>
                      <w:szCs w:val="18"/>
                    </w:rPr>
                    <w:t>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客室の総数が１０以上、かつ、床面積の合計２００平方メートル以上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公益事業の事務所</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保健所、税務署その他の不特定かつ多数の者が利用する官公署</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共同住宅、寄宿舎又は下宿</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w:t>
                  </w:r>
                  <w:r>
                    <w:rPr>
                      <w:rFonts w:ascii="ＭＳ 明朝" w:eastAsia="ＭＳ 明朝" w:hAnsi="ＭＳ 明朝" w:cs="ＭＳ 明朝" w:hint="eastAsia"/>
                      <w:color w:val="000000"/>
                      <w:kern w:val="0"/>
                      <w:sz w:val="18"/>
                      <w:szCs w:val="18"/>
                    </w:rPr>
                    <w:t>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老人ホーム、保育所、福祉ホームその他これらに類するもの</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老人福祉センター、児童厚生施設、身体障害者福祉センターその他これらに類するもの</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公共体育館等又はボーリング場</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遊技場</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第１３条第５号に掲げる体育館、水泳場、ボーリング場その他これらに類する運動施設</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w:t>
                  </w:r>
                  <w:r>
                    <w:rPr>
                      <w:rFonts w:ascii="ＭＳ 明朝" w:eastAsia="ＭＳ 明朝" w:hAnsi="ＭＳ 明朝" w:cs="ＭＳ 明朝" w:hint="eastAsia"/>
                      <w:color w:val="000000"/>
                      <w:kern w:val="0"/>
                      <w:sz w:val="18"/>
                      <w:szCs w:val="18"/>
                    </w:rPr>
                    <w:t>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床面積の合計５００平方メートル以上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博物館、美術館又は図書館</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公衆浴場</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床面積の合計５００平方メートル以上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飲食店又はクリーニング取次店、質屋、貸衣装屋、銀行その</w:t>
                  </w:r>
                  <w:r>
                    <w:rPr>
                      <w:rFonts w:ascii="ＭＳ 明朝" w:eastAsia="ＭＳ 明朝" w:hAnsi="ＭＳ 明朝" w:cs="ＭＳ 明朝" w:hint="eastAsia"/>
                      <w:color w:val="000000"/>
                      <w:kern w:val="0"/>
                      <w:sz w:val="18"/>
                      <w:szCs w:val="18"/>
                    </w:rPr>
                    <w:t>他これらに類するサービス業を営む店舗</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理髪店、美容院その他これらに類するサービス業を営む店舗</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床面積の合計２００平方メートル以上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自動車教習所等</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床面積の合計５００平方メートル以上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ターミナル</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エレベーターの場合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自動車の停留又は駐車のための施設</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一般公共の用に供されるものに限る。</w:t>
                  </w:r>
                  <w:r>
                    <w:rPr>
                      <w:rFonts w:ascii="ＭＳ 明朝" w:eastAsia="ＭＳ 明朝" w:hAnsi="ＭＳ 明朝" w:cs="ＭＳ 明朝"/>
                      <w:color w:val="000000"/>
                      <w:kern w:val="0"/>
                      <w:sz w:val="18"/>
                      <w:szCs w:val="18"/>
                    </w:rPr>
                    <w:t>)</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公衆便所</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床面積の合計５０平方メートル以上</w:t>
                  </w:r>
                </w:p>
              </w:tc>
            </w:tr>
            <w:tr w:rsidR="00000000">
              <w:tblPrEx>
                <w:tblCellMar>
                  <w:top w:w="0" w:type="dxa"/>
                  <w:left w:w="0" w:type="dxa"/>
                  <w:bottom w:w="0" w:type="dxa"/>
                  <w:right w:w="0" w:type="dxa"/>
                </w:tblCellMar>
              </w:tblPrEx>
              <w:tc>
                <w:tcPr>
                  <w:tcW w:w="890" w:type="dxa"/>
                  <w:vMerge w:val="restart"/>
                  <w:tcBorders>
                    <w:left w:val="single" w:sz="4" w:space="0" w:color="000000"/>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公共用歩廊</w:t>
                  </w: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玄関及び敷地内通路の場合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全て</w:t>
                  </w:r>
                </w:p>
              </w:tc>
            </w:tr>
            <w:tr w:rsidR="00000000">
              <w:tblPrEx>
                <w:tblCellMar>
                  <w:top w:w="0" w:type="dxa"/>
                  <w:left w:w="0" w:type="dxa"/>
                  <w:bottom w:w="0" w:type="dxa"/>
                  <w:right w:w="0" w:type="dxa"/>
                </w:tblCellMar>
              </w:tblPrEx>
              <w:tc>
                <w:tcPr>
                  <w:tcW w:w="890" w:type="dxa"/>
                  <w:vMerge/>
                  <w:tcBorders>
                    <w:left w:val="single" w:sz="4" w:space="0" w:color="000000"/>
                    <w:bottom w:val="single" w:sz="4" w:space="0" w:color="000000"/>
                    <w:right w:val="single" w:sz="4" w:space="0" w:color="000000"/>
                  </w:tcBorders>
                </w:tcPr>
                <w:p w:rsidR="00000000" w:rsidRDefault="00546160">
                  <w:pPr>
                    <w:autoSpaceDE w:val="0"/>
                    <w:autoSpaceDN w:val="0"/>
                    <w:adjustRightInd w:val="0"/>
                    <w:jc w:val="left"/>
                    <w:rPr>
                      <w:rFonts w:ascii="Arial" w:hAnsi="Arial" w:cs="Arial"/>
                      <w:kern w:val="0"/>
                      <w:sz w:val="24"/>
                      <w:szCs w:val="24"/>
                    </w:rPr>
                  </w:pPr>
                </w:p>
              </w:tc>
              <w:tc>
                <w:tcPr>
                  <w:tcW w:w="1740"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その他の建築物移動等円滑化基準を適用する場合</w:t>
                  </w:r>
                </w:p>
              </w:tc>
              <w:tc>
                <w:tcPr>
                  <w:tcW w:w="1376" w:type="dxa"/>
                  <w:tcBorders>
                    <w:bottom w:val="single" w:sz="4" w:space="0" w:color="000000"/>
                    <w:right w:val="single" w:sz="4" w:space="0" w:color="000000"/>
                  </w:tcBorders>
                </w:tcPr>
                <w:p w:rsidR="00000000" w:rsidRDefault="00546160">
                  <w:pPr>
                    <w:wordWrap w:val="0"/>
                    <w:autoSpaceDE w:val="0"/>
                    <w:autoSpaceDN w:val="0"/>
                    <w:adjustRightInd w:val="0"/>
                    <w:spacing w:line="350" w:lineRule="atLeast"/>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床面積の合計１，０００平方メートル以上</w:t>
                  </w:r>
                </w:p>
              </w:tc>
            </w:tr>
          </w:tbl>
          <w:p w:rsidR="00000000" w:rsidRDefault="00546160">
            <w:pPr>
              <w:autoSpaceDE w:val="0"/>
              <w:autoSpaceDN w:val="0"/>
              <w:adjustRightInd w:val="0"/>
              <w:jc w:val="left"/>
              <w:rPr>
                <w:rFonts w:ascii="Arial" w:hAnsi="Arial" w:cs="Arial"/>
                <w:kern w:val="0"/>
                <w:sz w:val="24"/>
                <w:szCs w:val="24"/>
              </w:rPr>
            </w:pP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備考　工事期間中に限ってその用途に供される仮設建築物</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令第５条に定める用途のうち床面積の合計が２，０００平方メートル以上のものを除く。</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は、特別特定建築物には含まれないものとする。</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備考　工事期間中に限ってその用途に供される仮設建築物</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令第５条に定める用途のうち床面積の合計が２，</w:t>
            </w:r>
            <w:r>
              <w:rPr>
                <w:rFonts w:ascii="ＭＳ 明朝" w:eastAsia="ＭＳ 明朝" w:hAnsi="ＭＳ 明朝" w:cs="ＭＳ 明朝" w:hint="eastAsia"/>
                <w:color w:val="000000"/>
                <w:kern w:val="0"/>
                <w:sz w:val="18"/>
                <w:szCs w:val="18"/>
              </w:rPr>
              <w:t>０００平方メートル以上のものを除く。</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は、特別特定建築物には含まれないものとする。</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別表第２</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第１５条関係</w:t>
            </w:r>
            <w:r>
              <w:rPr>
                <w:rFonts w:ascii="ＭＳ 明朝" w:eastAsia="ＭＳ 明朝" w:hAnsi="ＭＳ 明朝" w:cs="ＭＳ 明朝"/>
                <w:color w:val="000000"/>
                <w:kern w:val="0"/>
                <w:sz w:val="18"/>
                <w:szCs w:val="18"/>
                <w:u w:val="single"/>
              </w:rPr>
              <w:t>)</w:t>
            </w:r>
          </w:p>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１　次に掲げる場合には、それぞれ当該各号に定める経路のうち１以上を、移動等円滑化経路にしなければならない。</w:t>
            </w:r>
          </w:p>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１</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 xml:space="preserve">　建築物又はその敷地に車いす使用者用便房</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車いす使用者用客室に設けられるものを除く。以下同じ。</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を設ける場合　利用居室</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当該建築物に利用居室が設けられていないときは、道等。次号において同じ。</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から当該車いす使用者用便房までの経路</w:t>
            </w:r>
          </w:p>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２</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 xml:space="preserve">　建築物又はその敷地に車いす使用者用駐車施設を設け</w:t>
            </w:r>
            <w:r>
              <w:rPr>
                <w:rFonts w:ascii="ＭＳ 明朝" w:eastAsia="ＭＳ 明朝" w:hAnsi="ＭＳ 明朝" w:cs="ＭＳ 明朝" w:hint="eastAsia"/>
                <w:color w:val="000000"/>
                <w:kern w:val="0"/>
                <w:sz w:val="18"/>
                <w:szCs w:val="18"/>
                <w:u w:val="single"/>
              </w:rPr>
              <w:t>る場合　当該車いす使用者用駐車施設から利用居室までの経路</w:t>
            </w:r>
          </w:p>
          <w:p w:rsidR="00000000" w:rsidRDefault="00546160">
            <w:pPr>
              <w:wordWrap w:val="0"/>
              <w:autoSpaceDE w:val="0"/>
              <w:autoSpaceDN w:val="0"/>
              <w:adjustRightInd w:val="0"/>
              <w:spacing w:line="350" w:lineRule="atLeast"/>
              <w:ind w:left="38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２　移動等円滑化経路は、次に掲げるものでなければならない。</w:t>
            </w:r>
          </w:p>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１</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 xml:space="preserve">　当該移動等円滑化経路を構成する廊下等は、令で定める幅の基準に３０センチメートルの幅の基準を付加したものであること。</w:t>
            </w:r>
          </w:p>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２</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 xml:space="preserve">　当該移動等円滑化経路を構成する傾斜路</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階段に代わり、又はこれに併設するものに限る。</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は、階段に代わるものにあっては令で定める幅の基準に３０センチメートルの幅の基準を付加したものであること。</w:t>
            </w:r>
          </w:p>
          <w:p w:rsidR="00000000" w:rsidRDefault="00546160">
            <w:pPr>
              <w:wordWrap w:val="0"/>
              <w:autoSpaceDE w:val="0"/>
              <w:autoSpaceDN w:val="0"/>
              <w:adjustRightInd w:val="0"/>
              <w:spacing w:line="350" w:lineRule="atLeast"/>
              <w:ind w:left="56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３</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 xml:space="preserve">　当該移動等円滑化経路を構成する敷地内の通路は、次に掲げるものであ</w:t>
            </w:r>
            <w:r>
              <w:rPr>
                <w:rFonts w:ascii="ＭＳ 明朝" w:eastAsia="ＭＳ 明朝" w:hAnsi="ＭＳ 明朝" w:cs="ＭＳ 明朝" w:hint="eastAsia"/>
                <w:color w:val="000000"/>
                <w:kern w:val="0"/>
                <w:sz w:val="18"/>
                <w:szCs w:val="18"/>
                <w:u w:val="single"/>
              </w:rPr>
              <w:t>ること。</w:t>
            </w:r>
          </w:p>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ア　令で定める幅の基準に３０センチメートルの幅の基準を付加したものであること。</w:t>
            </w:r>
          </w:p>
          <w:p w:rsidR="00000000" w:rsidRDefault="00546160">
            <w:pPr>
              <w:wordWrap w:val="0"/>
              <w:autoSpaceDE w:val="0"/>
              <w:autoSpaceDN w:val="0"/>
              <w:adjustRightInd w:val="0"/>
              <w:spacing w:line="350" w:lineRule="atLeast"/>
              <w:ind w:left="74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イ　傾斜路の幅は、段に代わるものにあっては令で定める幅の基準に３０センチメートルの幅の基準を付加したものであること。</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別表第３</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第１７条関係</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別表第２</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第１７条関係</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別表第４</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第１７条関係</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別表第３</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第１７条関係</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別表第５</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第１７条関係</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別表第４</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第１７条関係</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別表第６</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第１９条関係</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別表第５</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第１９条関係</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別表第７</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第１９条関係</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別表第６</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第１９条</w:t>
            </w:r>
            <w:r>
              <w:rPr>
                <w:rFonts w:ascii="ＭＳ 明朝" w:eastAsia="ＭＳ 明朝" w:hAnsi="ＭＳ 明朝" w:cs="ＭＳ 明朝" w:hint="eastAsia"/>
                <w:color w:val="000000"/>
                <w:kern w:val="0"/>
                <w:sz w:val="18"/>
                <w:szCs w:val="18"/>
              </w:rPr>
              <w:t>関係</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別表第８</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第２０条関係</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別表第７</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第２０条関係</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r>
      <w:tr w:rsidR="00000000">
        <w:tblPrEx>
          <w:tblCellMar>
            <w:top w:w="0" w:type="dxa"/>
            <w:left w:w="0" w:type="dxa"/>
            <w:bottom w:w="0" w:type="dxa"/>
            <w:right w:w="0" w:type="dxa"/>
          </w:tblCellMar>
        </w:tblPrEx>
        <w:tc>
          <w:tcPr>
            <w:tcW w:w="4251" w:type="dxa"/>
            <w:tcBorders>
              <w:top w:val="nil"/>
              <w:left w:val="single" w:sz="4" w:space="0" w:color="000000"/>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別表第９</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第２１条関係</w:t>
            </w:r>
            <w:r>
              <w:rPr>
                <w:rFonts w:ascii="ＭＳ 明朝" w:eastAsia="ＭＳ 明朝" w:hAnsi="ＭＳ 明朝" w:cs="ＭＳ 明朝"/>
                <w:color w:val="000000"/>
                <w:kern w:val="0"/>
                <w:sz w:val="18"/>
                <w:szCs w:val="18"/>
              </w:rPr>
              <w:t>)</w:t>
            </w:r>
          </w:p>
        </w:tc>
        <w:tc>
          <w:tcPr>
            <w:tcW w:w="4251" w:type="dxa"/>
            <w:tcBorders>
              <w:top w:val="nil"/>
              <w:left w:val="nil"/>
              <w:bottom w:val="nil"/>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0" w:hanging="18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u w:val="single"/>
              </w:rPr>
              <w:t>別表第８</w:t>
            </w:r>
            <w:r>
              <w:rPr>
                <w:rFonts w:ascii="ＭＳ 明朝" w:eastAsia="ＭＳ 明朝" w:hAnsi="ＭＳ 明朝" w:cs="ＭＳ 明朝"/>
                <w:color w:val="000000"/>
                <w:kern w:val="0"/>
                <w:sz w:val="18"/>
                <w:szCs w:val="18"/>
              </w:rPr>
              <w:t>(</w:t>
            </w:r>
            <w:r>
              <w:rPr>
                <w:rFonts w:ascii="ＭＳ 明朝" w:eastAsia="ＭＳ 明朝" w:hAnsi="ＭＳ 明朝" w:cs="ＭＳ 明朝" w:hint="eastAsia"/>
                <w:color w:val="000000"/>
                <w:kern w:val="0"/>
                <w:sz w:val="18"/>
                <w:szCs w:val="18"/>
              </w:rPr>
              <w:t>第２１条関係</w:t>
            </w:r>
            <w:r>
              <w:rPr>
                <w:rFonts w:ascii="ＭＳ 明朝" w:eastAsia="ＭＳ 明朝" w:hAnsi="ＭＳ 明朝" w:cs="ＭＳ 明朝"/>
                <w:color w:val="000000"/>
                <w:kern w:val="0"/>
                <w:sz w:val="18"/>
                <w:szCs w:val="18"/>
              </w:rPr>
              <w:t>)</w:t>
            </w:r>
          </w:p>
        </w:tc>
      </w:tr>
      <w:tr w:rsidR="00000000">
        <w:tblPrEx>
          <w:tblCellMar>
            <w:top w:w="0" w:type="dxa"/>
            <w:left w:w="0" w:type="dxa"/>
            <w:bottom w:w="0" w:type="dxa"/>
            <w:right w:w="0" w:type="dxa"/>
          </w:tblCellMar>
        </w:tblPrEx>
        <w:tc>
          <w:tcPr>
            <w:tcW w:w="4251" w:type="dxa"/>
            <w:tcBorders>
              <w:top w:val="nil"/>
              <w:left w:val="single" w:sz="4" w:space="0" w:color="000000"/>
              <w:bottom w:val="single" w:sz="4" w:space="0" w:color="000000"/>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c>
          <w:tcPr>
            <w:tcW w:w="4251" w:type="dxa"/>
            <w:tcBorders>
              <w:top w:val="nil"/>
              <w:left w:val="nil"/>
              <w:bottom w:val="single" w:sz="4" w:space="0" w:color="000000"/>
              <w:right w:val="single" w:sz="4" w:space="0" w:color="000000"/>
            </w:tcBorders>
            <w:tcMar>
              <w:top w:w="22" w:type="dxa"/>
              <w:left w:w="102" w:type="dxa"/>
              <w:bottom w:w="22" w:type="dxa"/>
              <w:right w:w="102" w:type="dxa"/>
            </w:tcMar>
          </w:tcPr>
          <w:p w:rsidR="00000000" w:rsidRDefault="00546160">
            <w:pPr>
              <w:wordWrap w:val="0"/>
              <w:autoSpaceDE w:val="0"/>
              <w:autoSpaceDN w:val="0"/>
              <w:adjustRightInd w:val="0"/>
              <w:spacing w:line="350" w:lineRule="atLeast"/>
              <w:ind w:left="20"/>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略</w:t>
            </w:r>
          </w:p>
        </w:tc>
      </w:tr>
    </w:tbl>
    <w:p w:rsidR="00000000" w:rsidRDefault="00546160">
      <w:pPr>
        <w:wordWrap w:val="0"/>
        <w:autoSpaceDE w:val="0"/>
        <w:autoSpaceDN w:val="0"/>
        <w:adjustRightInd w:val="0"/>
        <w:spacing w:line="360" w:lineRule="atLeast"/>
        <w:jc w:val="left"/>
        <w:rPr>
          <w:rFonts w:ascii="ＭＳ 明朝" w:eastAsia="ＭＳ 明朝" w:hAnsi="ＭＳ 明朝" w:cs="ＭＳ 明朝"/>
          <w:color w:val="000000"/>
          <w:kern w:val="0"/>
          <w:sz w:val="18"/>
          <w:szCs w:val="18"/>
        </w:rPr>
      </w:pPr>
      <w:bookmarkStart w:id="1" w:name="last"/>
      <w:bookmarkEnd w:id="1"/>
    </w:p>
    <w:sectPr w:rsidR="00000000">
      <w:footerReference w:type="default" r:id="rId6"/>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6160">
      <w:r>
        <w:separator/>
      </w:r>
    </w:p>
  </w:endnote>
  <w:endnote w:type="continuationSeparator" w:id="0">
    <w:p w:rsidR="00000000" w:rsidRDefault="0054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6160">
    <w:pPr>
      <w:autoSpaceDE w:val="0"/>
      <w:autoSpaceDN w:val="0"/>
      <w:adjustRightInd w:val="0"/>
      <w:spacing w:line="216" w:lineRule="atLeast"/>
      <w:jc w:val="center"/>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PAGE</w:instrText>
    </w:r>
    <w:r>
      <w:rPr>
        <w:rFonts w:ascii="ＭＳ 明朝" w:eastAsia="ＭＳ 明朝" w:hAnsi="ＭＳ 明朝" w:cs="ＭＳ 明朝"/>
        <w:color w:val="000000"/>
        <w:kern w:val="0"/>
        <w:sz w:val="18"/>
        <w:szCs w:val="18"/>
      </w:rPr>
      <w:fldChar w:fldCharType="separate"/>
    </w:r>
    <w:r>
      <w:rPr>
        <w:rFonts w:ascii="ＭＳ 明朝" w:eastAsia="ＭＳ 明朝" w:hAnsi="ＭＳ 明朝" w:cs="ＭＳ 明朝"/>
        <w:noProof/>
        <w:color w:val="000000"/>
        <w:kern w:val="0"/>
        <w:sz w:val="18"/>
        <w:szCs w:val="18"/>
      </w:rPr>
      <w:t>1</w:t>
    </w:r>
    <w:r>
      <w:rPr>
        <w:rFonts w:ascii="ＭＳ 明朝" w:eastAsia="ＭＳ 明朝" w:hAnsi="ＭＳ 明朝" w:cs="ＭＳ 明朝"/>
        <w:color w:val="000000"/>
        <w:kern w:val="0"/>
        <w:sz w:val="18"/>
        <w:szCs w:val="18"/>
      </w:rPr>
      <w:fldChar w:fldCharType="end"/>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fldChar w:fldCharType="begin"/>
    </w:r>
    <w:r>
      <w:rPr>
        <w:rFonts w:ascii="ＭＳ 明朝" w:eastAsia="ＭＳ 明朝" w:hAnsi="ＭＳ 明朝" w:cs="ＭＳ 明朝"/>
        <w:color w:val="000000"/>
        <w:kern w:val="0"/>
        <w:sz w:val="18"/>
        <w:szCs w:val="18"/>
      </w:rPr>
      <w:instrText xml:space="preserve"> PAGEREF "last"  </w:instrText>
    </w:r>
    <w:r>
      <w:rPr>
        <w:rFonts w:ascii="ＭＳ 明朝" w:eastAsia="ＭＳ 明朝" w:hAnsi="ＭＳ 明朝" w:cs="ＭＳ 明朝"/>
        <w:color w:val="000000"/>
        <w:kern w:val="0"/>
        <w:sz w:val="18"/>
        <w:szCs w:val="18"/>
      </w:rPr>
      <w:fldChar w:fldCharType="separate"/>
    </w:r>
    <w:r>
      <w:rPr>
        <w:rFonts w:ascii="ＭＳ 明朝" w:eastAsia="ＭＳ 明朝" w:hAnsi="ＭＳ 明朝" w:cs="ＭＳ 明朝"/>
        <w:noProof/>
        <w:color w:val="000000"/>
        <w:kern w:val="0"/>
        <w:sz w:val="18"/>
        <w:szCs w:val="18"/>
      </w:rPr>
      <w:t>12</w:t>
    </w:r>
    <w:r>
      <w:rPr>
        <w:rFonts w:ascii="ＭＳ 明朝" w:eastAsia="ＭＳ 明朝" w:hAnsi="ＭＳ 明朝" w:cs="ＭＳ 明朝"/>
        <w:color w:val="000000"/>
        <w:kern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46160">
      <w:r>
        <w:separator/>
      </w:r>
    </w:p>
  </w:footnote>
  <w:footnote w:type="continuationSeparator" w:id="0">
    <w:p w:rsidR="00000000" w:rsidRDefault="00546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60"/>
    <w:rsid w:val="00546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A16104-5D1C-45E0-AAB9-10CC8D28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1830</Words>
  <Characters>10431</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史夏</dc:creator>
  <cp:keywords/>
  <dc:description/>
  <cp:lastModifiedBy>太田 史夏</cp:lastModifiedBy>
  <cp:revision>2</cp:revision>
  <dcterms:created xsi:type="dcterms:W3CDTF">2021-10-13T04:59:00Z</dcterms:created>
  <dcterms:modified xsi:type="dcterms:W3CDTF">2021-10-13T04:59:00Z</dcterms:modified>
</cp:coreProperties>
</file>