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D134D">
      <w:pPr>
        <w:autoSpaceDE w:val="0"/>
        <w:autoSpaceDN w:val="0"/>
        <w:adjustRightInd w:val="0"/>
        <w:spacing w:line="420" w:lineRule="atLeast"/>
        <w:ind w:left="840" w:hanging="210"/>
        <w:jc w:val="left"/>
        <w:rPr>
          <w:rFonts w:ascii="ＭＳ ゴシック" w:eastAsia="ＭＳ ゴシック" w:hAnsi="ＭＳ ゴシック" w:cs="ＭＳ ゴシック"/>
          <w:color w:val="000000"/>
          <w:kern w:val="0"/>
          <w:szCs w:val="21"/>
        </w:rPr>
      </w:pPr>
      <w:bookmarkStart w:id="0" w:name="_GoBack"/>
      <w:bookmarkEnd w:id="0"/>
      <w:r>
        <w:rPr>
          <w:rFonts w:ascii="ＭＳ ゴシック" w:eastAsia="ＭＳ ゴシック" w:hAnsi="ＭＳ ゴシック" w:cs="ＭＳ ゴシック" w:hint="eastAsia"/>
          <w:color w:val="000000"/>
          <w:kern w:val="0"/>
          <w:szCs w:val="21"/>
        </w:rPr>
        <w:t>○鳥取県福祉のまちづくり条例</w:t>
      </w:r>
    </w:p>
    <w:p w:rsidR="00000000" w:rsidRDefault="000D134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年３月</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日</w:t>
      </w:r>
    </w:p>
    <w:p w:rsidR="00000000" w:rsidRDefault="000D134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鳥取県条例第２号</w:t>
      </w:r>
    </w:p>
    <w:p w:rsidR="00000000" w:rsidRDefault="000D134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改正　平成</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年８月</w:t>
      </w:r>
      <w:r>
        <w:rPr>
          <w:rFonts w:ascii="ＭＳ ゴシック" w:eastAsia="ＭＳ ゴシック" w:hAnsi="ＭＳ ゴシック" w:cs="ＭＳ ゴシック"/>
          <w:color w:val="000000"/>
          <w:kern w:val="0"/>
          <w:sz w:val="22"/>
        </w:rPr>
        <w:t>29</w:t>
      </w:r>
      <w:r>
        <w:rPr>
          <w:rFonts w:ascii="ＭＳ ゴシック" w:eastAsia="ＭＳ ゴシック" w:hAnsi="ＭＳ ゴシック" w:cs="ＭＳ ゴシック" w:hint="eastAsia"/>
          <w:color w:val="000000"/>
          <w:kern w:val="0"/>
          <w:sz w:val="22"/>
        </w:rPr>
        <w:t>日条例第</w:t>
      </w:r>
      <w:r>
        <w:rPr>
          <w:rFonts w:ascii="ＭＳ ゴシック" w:eastAsia="ＭＳ ゴシック" w:hAnsi="ＭＳ ゴシック" w:cs="ＭＳ ゴシック"/>
          <w:color w:val="000000"/>
          <w:kern w:val="0"/>
          <w:sz w:val="22"/>
        </w:rPr>
        <w:t>57</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年７月１日条例第</w:t>
      </w:r>
      <w:r>
        <w:rPr>
          <w:rFonts w:ascii="ＭＳ ゴシック" w:eastAsia="ＭＳ ゴシック" w:hAnsi="ＭＳ ゴシック" w:cs="ＭＳ ゴシック"/>
          <w:color w:val="000000"/>
          <w:kern w:val="0"/>
          <w:sz w:val="22"/>
        </w:rPr>
        <w:t>41</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年</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月</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日条例第</w:t>
      </w:r>
      <w:r>
        <w:rPr>
          <w:rFonts w:ascii="ＭＳ ゴシック" w:eastAsia="ＭＳ ゴシック" w:hAnsi="ＭＳ ゴシック" w:cs="ＭＳ ゴシック"/>
          <w:color w:val="000000"/>
          <w:kern w:val="0"/>
          <w:sz w:val="22"/>
        </w:rPr>
        <w:t>52</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年</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月</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日条例第</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平成</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年</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月</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日条例第</w:t>
      </w:r>
      <w:r>
        <w:rPr>
          <w:rFonts w:ascii="ＭＳ ゴシック" w:eastAsia="ＭＳ ゴシック" w:hAnsi="ＭＳ ゴシック" w:cs="ＭＳ ゴシック"/>
          <w:color w:val="000000"/>
          <w:kern w:val="0"/>
          <w:sz w:val="22"/>
        </w:rPr>
        <w:t>51</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令和３年３月</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日条例第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jc w:val="righ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令和３年７月９日条例第</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鳥取県福祉のまちづくり条例をここに公布する。</w:t>
      </w:r>
    </w:p>
    <w:p w:rsidR="00000000" w:rsidRDefault="000D134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鳥取県福祉のまちづくり条例</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鳥取県福祉のまちづくり条例（平成８年鳥取県条例第</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号）の全部を改正する。</w:t>
      </w:r>
    </w:p>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目次</w:t>
      </w:r>
    </w:p>
    <w:p w:rsidR="00000000" w:rsidRDefault="000D134D">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前文</w:t>
      </w:r>
    </w:p>
    <w:p w:rsidR="00000000" w:rsidRDefault="000D134D">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第１章　総則（第１条―第５条）</w:t>
      </w:r>
    </w:p>
    <w:p w:rsidR="00000000" w:rsidRDefault="000D134D">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第２章　福祉のまちづくりに関する基本方針等（第６条―第</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条）</w:t>
      </w:r>
    </w:p>
    <w:p w:rsidR="00000000" w:rsidRDefault="000D134D">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第３章　特別特定建築物に係る規制等（第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条―第</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条）</w:t>
      </w:r>
    </w:p>
    <w:p w:rsidR="00000000" w:rsidRDefault="000D134D">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第４章　車いすが利用しやすい施設の整備（第</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条・第</w:t>
      </w:r>
      <w:r>
        <w:rPr>
          <w:rFonts w:ascii="ＭＳ ゴシック" w:eastAsia="ＭＳ ゴシック" w:hAnsi="ＭＳ ゴシック" w:cs="ＭＳ ゴシック"/>
          <w:color w:val="000000"/>
          <w:kern w:val="0"/>
          <w:sz w:val="22"/>
        </w:rPr>
        <w:t>26</w:t>
      </w:r>
      <w:r>
        <w:rPr>
          <w:rFonts w:ascii="ＭＳ ゴシック" w:eastAsia="ＭＳ ゴシック" w:hAnsi="ＭＳ ゴシック" w:cs="ＭＳ ゴシック" w:hint="eastAsia"/>
          <w:color w:val="000000"/>
          <w:kern w:val="0"/>
          <w:sz w:val="22"/>
        </w:rPr>
        <w:t>条）</w:t>
      </w:r>
    </w:p>
    <w:p w:rsidR="00000000" w:rsidRDefault="000D134D">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第５章　雑則（第</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w:t>
      </w:r>
    </w:p>
    <w:p w:rsidR="00000000" w:rsidRDefault="000D134D">
      <w:pPr>
        <w:autoSpaceDE w:val="0"/>
        <w:autoSpaceDN w:val="0"/>
        <w:adjustRightInd w:val="0"/>
        <w:spacing w:line="440" w:lineRule="atLeast"/>
        <w:ind w:left="110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附則</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私たちの住む鳥取県には、四季折々の豊かな自然、歴史と文化の薫り高い風土がある。私たちは、この自然、</w:t>
      </w:r>
      <w:r>
        <w:rPr>
          <w:rFonts w:ascii="ＭＳ ゴシック" w:eastAsia="ＭＳ ゴシック" w:hAnsi="ＭＳ ゴシック" w:cs="ＭＳ ゴシック" w:hint="eastAsia"/>
          <w:color w:val="000000"/>
          <w:kern w:val="0"/>
          <w:sz w:val="22"/>
        </w:rPr>
        <w:t>風土に囲まれながら、長い年月を経て、細やかなこころづかいと勤勉な県民性を培ってきた。</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この美しい郷土鳥取に、私たち一人ひとりがその一員として自立し、尊重され、生きがいを持ちながら生活できる社会を築き上げることは、県民すべての願いである。</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ような社会を実現するためには、県、市町村、事業者、県民がそれぞれの責務を果たし、協力し合いながら、高齢者、障害者等を取り巻く様々な障壁を除去することによって、福祉のまちづくりを推進していく必要がある。</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ここに、私たち鳥取県民は、互いの人権を尊重し、福祉のまちづくりを進め</w:t>
      </w:r>
      <w:r>
        <w:rPr>
          <w:rFonts w:ascii="ＭＳ ゴシック" w:eastAsia="ＭＳ ゴシック" w:hAnsi="ＭＳ ゴシック" w:cs="ＭＳ ゴシック" w:hint="eastAsia"/>
          <w:color w:val="000000"/>
          <w:kern w:val="0"/>
          <w:sz w:val="22"/>
        </w:rPr>
        <w:t>るための不断の努力を決意し、この条例を制定する。</w:t>
      </w:r>
    </w:p>
    <w:p w:rsidR="00000000" w:rsidRDefault="000D134D">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lastRenderedPageBreak/>
        <w:t>第１章　総則</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（目的）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第１条　この条例は、福祉のまちづくりに関し、県、事業者及び県民の責務を明らかにするとともに、福祉のまちづくりに関する施策の基本方針、高齢者、障害者等の移動等の円滑化の促進に関する法律（平成</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91</w:t>
      </w:r>
      <w:r>
        <w:rPr>
          <w:rFonts w:ascii="ＭＳ ゴシック" w:eastAsia="ＭＳ ゴシック" w:hAnsi="ＭＳ ゴシック" w:cs="ＭＳ ゴシック" w:hint="eastAsia"/>
          <w:color w:val="000000"/>
          <w:kern w:val="0"/>
          <w:sz w:val="22"/>
        </w:rPr>
        <w:t>号。以下「法」という。）第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条第３項の規定による特別特定建築物に係る規制の加重その他必要な事項を定めることにより、福祉のまちづくりに関する施策を総合的に推進し、もって豊かな福祉社会の実現に資することを目的とする。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（定義）</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 xml:space="preserve">第２条　</w:t>
      </w:r>
      <w:r>
        <w:rPr>
          <w:rFonts w:ascii="ＭＳ ゴシック" w:eastAsia="ＭＳ ゴシック" w:hAnsi="ＭＳ ゴシック" w:cs="ＭＳ ゴシック" w:hint="eastAsia"/>
          <w:color w:val="000000"/>
          <w:kern w:val="0"/>
          <w:sz w:val="22"/>
        </w:rPr>
        <w:t>この条例において、次の各号に掲げる用語の意義は、それぞれ当該各号に定めるところによる。</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福祉のまちづくり　高齢者、障害者等をはじめとする全ての者の移動上及び施設の利用上の利便性及び安全性の向上の促進を図ること等により、誰もが自らの意思で行動し、社会、経済、文化その他のあらゆる分野の活動に参加することができる社会の構築に向けた地域環境の整備を推進することをいう。</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公共的施設等　不特定かつ多数の者が利用する建築物、道路、公園、駐車場その他これらに類する施設、車両等及び案内標識、信号機、公衆電話所</w:t>
      </w:r>
      <w:r>
        <w:rPr>
          <w:rFonts w:ascii="ＭＳ ゴシック" w:eastAsia="ＭＳ ゴシック" w:hAnsi="ＭＳ ゴシック" w:cs="ＭＳ ゴシック" w:hint="eastAsia"/>
          <w:color w:val="000000"/>
          <w:kern w:val="0"/>
          <w:sz w:val="22"/>
        </w:rPr>
        <w:t>、バス停留所又はタクシー乗場の用に供する工作物をいう。</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前項に定めるもののほか、この条例において使用する用語の意義は、法及び高齢者、障害者等の移動等の円滑化の促進に関する法律施行令（平成</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年政令第</w:t>
      </w:r>
      <w:r>
        <w:rPr>
          <w:rFonts w:ascii="ＭＳ ゴシック" w:eastAsia="ＭＳ ゴシック" w:hAnsi="ＭＳ ゴシック" w:cs="ＭＳ ゴシック"/>
          <w:color w:val="000000"/>
          <w:kern w:val="0"/>
          <w:sz w:val="22"/>
        </w:rPr>
        <w:t>379</w:t>
      </w:r>
      <w:r>
        <w:rPr>
          <w:rFonts w:ascii="ＭＳ ゴシック" w:eastAsia="ＭＳ ゴシック" w:hAnsi="ＭＳ ゴシック" w:cs="ＭＳ ゴシック" w:hint="eastAsia"/>
          <w:color w:val="000000"/>
          <w:kern w:val="0"/>
          <w:sz w:val="22"/>
        </w:rPr>
        <w:t>号。以下「令」という。）で使用する用語の例による。</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（県の責務）</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第３条　県は、市町村による地域の実情に応じた福祉のまちづくりに関する施策の実施を促しつつ、これと連携して、福祉のまちづくりに関する総合的な施策を実施するものとする。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県は、自ら設置し、又は管理する公共的施</w:t>
      </w:r>
      <w:r>
        <w:rPr>
          <w:rFonts w:ascii="ＭＳ ゴシック" w:eastAsia="ＭＳ ゴシック" w:hAnsi="ＭＳ ゴシック" w:cs="ＭＳ ゴシック" w:hint="eastAsia"/>
          <w:color w:val="000000"/>
          <w:kern w:val="0"/>
          <w:sz w:val="22"/>
        </w:rPr>
        <w:t>設等について、高齢者、障害者等をはじめとする全ての者の移動上及び施設の利用上の利便性及び安全性の向上の促進を図るための措置を率先して講ずるとともに、市町村が設置し、又は管理する公共的施設等における当該措置の実施を促すものとする。</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（事業者の責務）</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lastRenderedPageBreak/>
        <w:t>第４条　事業者は、自ら設置し、又は管理する公共的施設等について、高齢者、障害者等をはじめとする全ての者の移動上及び施設の利用上の利便性及び安全性の向上の促進を図るための措置を講ずるよう努めるものとす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事業者は、県又は市町村が実</w:t>
      </w:r>
      <w:r>
        <w:rPr>
          <w:rFonts w:ascii="ＭＳ ゴシック" w:eastAsia="ＭＳ ゴシック" w:hAnsi="ＭＳ ゴシック" w:cs="ＭＳ ゴシック" w:hint="eastAsia"/>
          <w:color w:val="000000"/>
          <w:kern w:val="0"/>
          <w:sz w:val="22"/>
        </w:rPr>
        <w:t>施する福祉のまちづくりに関する施策に積極的に協力するものとする。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事業者は、高齢者、障害者等をはじめとする全ての者の移動上及び施設の利用上の利便性及び安全性の向上の促進を図るよう配慮して整備された公共的施設等において、その利用の妨げとなる行為をしてはならな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住宅を供給する事業を営む者は、高齢者、障害者等をはじめとする全ての者が安全かつ快適な生活ができるように配慮された住宅の供給に努めなければならない。</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（県民の責務）</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第５条　県民は、福祉のまちづくりについて理解を深</w:t>
      </w:r>
      <w:r>
        <w:rPr>
          <w:rFonts w:ascii="ＭＳ ゴシック" w:eastAsia="ＭＳ ゴシック" w:hAnsi="ＭＳ ゴシック" w:cs="ＭＳ ゴシック" w:hint="eastAsia"/>
          <w:color w:val="000000"/>
          <w:kern w:val="0"/>
          <w:sz w:val="22"/>
        </w:rPr>
        <w:t>め、自ら福祉のまちづくりに努めるとともに、相互に協力して福祉のまちづくりを推進するものとする。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県民は、県又は市町村が実施する福祉のまちづくりに関する施策に協力するよう努めなければならない。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県民は、高齢者、障害者等をはじめとする全ての者の移動上及び施設の利用上の利便性及び安全性の向上の促進を図るよう配慮して整備された公共的施設等において、その利用の妨げとなる行為をしてはならな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県民は、その所有する住宅について、居住する者が身体の機能の状況の変化に応じて安全かつ快適な生活ができるように配慮す</w:t>
      </w:r>
      <w:r>
        <w:rPr>
          <w:rFonts w:ascii="ＭＳ ゴシック" w:eastAsia="ＭＳ ゴシック" w:hAnsi="ＭＳ ゴシック" w:cs="ＭＳ ゴシック" w:hint="eastAsia"/>
          <w:color w:val="000000"/>
          <w:kern w:val="0"/>
          <w:sz w:val="22"/>
        </w:rPr>
        <w:t>るよう努めなければならない。</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第２章　福祉のまちづくりに関する基本方針等</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（基本方針）</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第６条　県は、高齢者、障害者等をはじめとする全ての者の自立した日常生活及び社会生活が確保されるよう、高齢者、障害者等の福祉に関する計画その他高齢者、障害者等の福祉に関する施策との連携を図りながら、次に掲げる基本方針に基づき、福祉のまちづくりに関する施策を総合的に実施するものとする。</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すべての県民が、福祉のまちづくりに対して理解を深め、積極的に取り組むよう意識の高揚を図ること。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高齢者、障害者等をはじめとする全ての者の移動上及び施設の利用上の利便性及び</w:t>
      </w:r>
      <w:r>
        <w:rPr>
          <w:rFonts w:ascii="ＭＳ ゴシック" w:eastAsia="ＭＳ ゴシック" w:hAnsi="ＭＳ ゴシック" w:cs="ＭＳ ゴシック" w:hint="eastAsia"/>
          <w:color w:val="000000"/>
          <w:kern w:val="0"/>
          <w:sz w:val="22"/>
        </w:rPr>
        <w:lastRenderedPageBreak/>
        <w:t>安全性の向上の促進を図るよう公共的施設等の整備を推進すること。</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（広報活動等の推進）</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第７条　県は、福祉のまちづくりについて、事業者及び県民の理解を深めるとともに、その協力が得られるよう広報活動等を推進するものとする。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（福祉教育の推進）</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第８条　県は、児童及び生徒が福祉のまちづくりについての理解を深め、高齢者、障害者等をはじめとする全ての者に対する思いやりの心をはぐくむよう、体験学習、ボランティア活動</w:t>
      </w:r>
      <w:r>
        <w:rPr>
          <w:rFonts w:ascii="ＭＳ ゴシック" w:eastAsia="ＭＳ ゴシック" w:hAnsi="ＭＳ ゴシック" w:cs="ＭＳ ゴシック" w:hint="eastAsia"/>
          <w:color w:val="000000"/>
          <w:kern w:val="0"/>
          <w:sz w:val="22"/>
        </w:rPr>
        <w:t>その他必要な教育活動を推進するものとする。</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（情報の収集及び提供）</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第９条　県は、高齢者、障害者等をはじめとする全ての者が安全かつ快適に利用できる施設の整備の促進に資する技術その他の福祉のまちづくりに関する情報の収集及び提供に努めるものとする。</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（調査及び研究）</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条　県は、福祉のまちづくりを推進するため、必要な調査及び研究に努めるものとする。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（推進体制の整備）</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条　県は、市町村、事業者及び県民と一体となって福祉のまちづくりの推進体制を</w:t>
      </w:r>
      <w:r>
        <w:rPr>
          <w:rFonts w:ascii="ＭＳ ゴシック" w:eastAsia="ＭＳ ゴシック" w:hAnsi="ＭＳ ゴシック" w:cs="ＭＳ ゴシック" w:hint="eastAsia"/>
          <w:color w:val="000000"/>
          <w:kern w:val="0"/>
          <w:sz w:val="22"/>
        </w:rPr>
        <w:t>整備し、その実現を図るものとする。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（支援措置等）</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条　県は、福祉のまちづくりを推進するために必要な指導、助言、財政上の措置その他の支援措置を講ずるものとする。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県は、福祉のまちづくりへの取組を奨励するため、福祉のまちづくりに関して著しい功績のあった者の顕彰その他の必要な措置を講ずることができる。</w:t>
      </w:r>
    </w:p>
    <w:p w:rsidR="00000000" w:rsidRDefault="000D134D">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第３章　特別特定建築物に係る規制等</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（特別特定建築物の追加）</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条　法第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条第３項の条例で定める特定建築物は、次に掲げるものとする。</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学校（令第５条第１号に掲げるものを除く。）</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ガ</w:t>
      </w:r>
      <w:r>
        <w:rPr>
          <w:rFonts w:ascii="ＭＳ ゴシック" w:eastAsia="ＭＳ ゴシック" w:hAnsi="ＭＳ ゴシック" w:cs="ＭＳ ゴシック" w:hint="eastAsia"/>
          <w:color w:val="000000"/>
          <w:kern w:val="0"/>
          <w:sz w:val="22"/>
        </w:rPr>
        <w:t>ス事業法（昭和</w:t>
      </w:r>
      <w:r>
        <w:rPr>
          <w:rFonts w:ascii="ＭＳ ゴシック" w:eastAsia="ＭＳ ゴシック" w:hAnsi="ＭＳ ゴシック" w:cs="ＭＳ ゴシック"/>
          <w:color w:val="000000"/>
          <w:kern w:val="0"/>
          <w:sz w:val="22"/>
        </w:rPr>
        <w:t>29</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51</w:t>
      </w:r>
      <w:r>
        <w:rPr>
          <w:rFonts w:ascii="ＭＳ ゴシック" w:eastAsia="ＭＳ ゴシック" w:hAnsi="ＭＳ ゴシック" w:cs="ＭＳ ゴシック" w:hint="eastAsia"/>
          <w:color w:val="000000"/>
          <w:kern w:val="0"/>
          <w:sz w:val="22"/>
        </w:rPr>
        <w:t>号）第２条第２項に規定するガス小売事業、電気事業法（昭和</w:t>
      </w:r>
      <w:r>
        <w:rPr>
          <w:rFonts w:ascii="ＭＳ ゴシック" w:eastAsia="ＭＳ ゴシック" w:hAnsi="ＭＳ ゴシック" w:cs="ＭＳ ゴシック"/>
          <w:color w:val="000000"/>
          <w:kern w:val="0"/>
          <w:sz w:val="22"/>
        </w:rPr>
        <w:t>39</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170</w:t>
      </w:r>
      <w:r>
        <w:rPr>
          <w:rFonts w:ascii="ＭＳ ゴシック" w:eastAsia="ＭＳ ゴシック" w:hAnsi="ＭＳ ゴシック" w:cs="ＭＳ ゴシック" w:hint="eastAsia"/>
          <w:color w:val="000000"/>
          <w:kern w:val="0"/>
          <w:sz w:val="22"/>
        </w:rPr>
        <w:t>号）第２条第１項第２号に規定する小売電気事業又は電気通信</w:t>
      </w:r>
      <w:r>
        <w:rPr>
          <w:rFonts w:ascii="ＭＳ ゴシック" w:eastAsia="ＭＳ ゴシック" w:hAnsi="ＭＳ ゴシック" w:cs="ＭＳ ゴシック" w:hint="eastAsia"/>
          <w:color w:val="000000"/>
          <w:kern w:val="0"/>
          <w:sz w:val="22"/>
        </w:rPr>
        <w:lastRenderedPageBreak/>
        <w:t>事業法（昭和</w:t>
      </w:r>
      <w:r>
        <w:rPr>
          <w:rFonts w:ascii="ＭＳ ゴシック" w:eastAsia="ＭＳ ゴシック" w:hAnsi="ＭＳ ゴシック" w:cs="ＭＳ ゴシック"/>
          <w:color w:val="000000"/>
          <w:kern w:val="0"/>
          <w:sz w:val="22"/>
        </w:rPr>
        <w:t>59</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86</w:t>
      </w:r>
      <w:r>
        <w:rPr>
          <w:rFonts w:ascii="ＭＳ ゴシック" w:eastAsia="ＭＳ ゴシック" w:hAnsi="ＭＳ ゴシック" w:cs="ＭＳ ゴシック" w:hint="eastAsia"/>
          <w:color w:val="000000"/>
          <w:kern w:val="0"/>
          <w:sz w:val="22"/>
        </w:rPr>
        <w:t>号）第</w:t>
      </w:r>
      <w:r>
        <w:rPr>
          <w:rFonts w:ascii="ＭＳ ゴシック" w:eastAsia="ＭＳ ゴシック" w:hAnsi="ＭＳ ゴシック" w:cs="ＭＳ ゴシック"/>
          <w:color w:val="000000"/>
          <w:kern w:val="0"/>
          <w:sz w:val="22"/>
        </w:rPr>
        <w:t>120</w:t>
      </w:r>
      <w:r>
        <w:rPr>
          <w:rFonts w:ascii="ＭＳ ゴシック" w:eastAsia="ＭＳ ゴシック" w:hAnsi="ＭＳ ゴシック" w:cs="ＭＳ ゴシック" w:hint="eastAsia"/>
          <w:color w:val="000000"/>
          <w:kern w:val="0"/>
          <w:sz w:val="22"/>
        </w:rPr>
        <w:t>条第１項に規定する認定電気通信事業の用に供する事務所（以下「公益事業の事務所」という。）</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共同住宅、寄宿舎又は下宿</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老人ホーム、保育所、福祉ホームその他これらに類するもの（令第５条第９号に掲げるものを除く。）</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体育館、水泳場、ボーリング場その他これらに類する運動施設（令第５条第</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号に掲</w:t>
      </w:r>
      <w:r>
        <w:rPr>
          <w:rFonts w:ascii="ＭＳ ゴシック" w:eastAsia="ＭＳ ゴシック" w:hAnsi="ＭＳ ゴシック" w:cs="ＭＳ ゴシック" w:hint="eastAsia"/>
          <w:color w:val="000000"/>
          <w:kern w:val="0"/>
          <w:sz w:val="22"/>
        </w:rPr>
        <w:t>げるもの及び専ら従業員の福利厚生のために使用されるもので規則で定めるものを除く。）</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自動車教習所又は職業能力開発促進法（昭和</w:t>
      </w:r>
      <w:r>
        <w:rPr>
          <w:rFonts w:ascii="ＭＳ ゴシック" w:eastAsia="ＭＳ ゴシック" w:hAnsi="ＭＳ ゴシック" w:cs="ＭＳ ゴシック"/>
          <w:color w:val="000000"/>
          <w:kern w:val="0"/>
          <w:sz w:val="22"/>
        </w:rPr>
        <w:t>44</w:t>
      </w:r>
      <w:r>
        <w:rPr>
          <w:rFonts w:ascii="ＭＳ ゴシック" w:eastAsia="ＭＳ ゴシック" w:hAnsi="ＭＳ ゴシック" w:cs="ＭＳ ゴシック" w:hint="eastAsia"/>
          <w:color w:val="000000"/>
          <w:kern w:val="0"/>
          <w:sz w:val="22"/>
        </w:rPr>
        <w:t>年法律第</w:t>
      </w:r>
      <w:r>
        <w:rPr>
          <w:rFonts w:ascii="ＭＳ ゴシック" w:eastAsia="ＭＳ ゴシック" w:hAnsi="ＭＳ ゴシック" w:cs="ＭＳ ゴシック"/>
          <w:color w:val="000000"/>
          <w:kern w:val="0"/>
          <w:sz w:val="22"/>
        </w:rPr>
        <w:t>64</w:t>
      </w:r>
      <w:r>
        <w:rPr>
          <w:rFonts w:ascii="ＭＳ ゴシック" w:eastAsia="ＭＳ ゴシック" w:hAnsi="ＭＳ ゴシック" w:cs="ＭＳ ゴシック" w:hint="eastAsia"/>
          <w:color w:val="000000"/>
          <w:kern w:val="0"/>
          <w:sz w:val="22"/>
        </w:rPr>
        <w:t>号）第</w:t>
      </w:r>
      <w:r>
        <w:rPr>
          <w:rFonts w:ascii="ＭＳ ゴシック" w:eastAsia="ＭＳ ゴシック" w:hAnsi="ＭＳ ゴシック" w:cs="ＭＳ ゴシック"/>
          <w:color w:val="000000"/>
          <w:kern w:val="0"/>
          <w:sz w:val="22"/>
        </w:rPr>
        <w:t>15</w:t>
      </w:r>
      <w:r>
        <w:rPr>
          <w:rFonts w:ascii="ＭＳ ゴシック" w:eastAsia="ＭＳ ゴシック" w:hAnsi="ＭＳ ゴシック" w:cs="ＭＳ ゴシック" w:hint="eastAsia"/>
          <w:color w:val="000000"/>
          <w:kern w:val="0"/>
          <w:sz w:val="22"/>
        </w:rPr>
        <w:t>条の７第１項各号に掲げる施設（以下「自動車教習所等」という。）</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52</w:t>
      </w: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51</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（建築の規模の引下げ）</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　法第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条第３項の条例で定める建築（用途の変更をして特別特定建築物にすることを含む。以下同じ。）の規模は、別表第１の左欄に掲げる区分に応じ、それぞれ同表の右欄に定める規模（当該規模に満たない特別</w:t>
      </w:r>
      <w:r>
        <w:rPr>
          <w:rFonts w:ascii="ＭＳ ゴシック" w:eastAsia="ＭＳ ゴシック" w:hAnsi="ＭＳ ゴシック" w:cs="ＭＳ ゴシック" w:hint="eastAsia"/>
          <w:color w:val="000000"/>
          <w:kern w:val="0"/>
          <w:sz w:val="22"/>
        </w:rPr>
        <w:t>特定建築物の建築（以下この条において「小規模建築」という。）をする場合において、当該特別特定建築物の床面積（増築若しくは改築又は用途の変更（以下「増築等」という。）の場合にあっては、当該増築等に係る部分（耐震改修により増加する部分を除く。）の床面積。以下同じ。）の合計に当該特別特定建築物と同一の敷地内に建築する他の特別特定建築物（公衆便所を除く。）の床面積の合計を加えた面積が</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平方メートル以上となるときは、当該小規模建築の規模）とする。ただし、床面積の合計が</w:t>
      </w:r>
      <w:r>
        <w:rPr>
          <w:rFonts w:ascii="ＭＳ ゴシック" w:eastAsia="ＭＳ ゴシック" w:hAnsi="ＭＳ ゴシック" w:cs="ＭＳ ゴシック"/>
          <w:color w:val="000000"/>
          <w:kern w:val="0"/>
          <w:sz w:val="22"/>
        </w:rPr>
        <w:t>200</w:t>
      </w:r>
      <w:r>
        <w:rPr>
          <w:rFonts w:ascii="ＭＳ ゴシック" w:eastAsia="ＭＳ ゴシック" w:hAnsi="ＭＳ ゴシック" w:cs="ＭＳ ゴシック" w:hint="eastAsia"/>
          <w:color w:val="000000"/>
          <w:kern w:val="0"/>
          <w:sz w:val="22"/>
        </w:rPr>
        <w:t>平方メートル未満の建築物について用途</w:t>
      </w:r>
      <w:r>
        <w:rPr>
          <w:rFonts w:ascii="ＭＳ ゴシック" w:eastAsia="ＭＳ ゴシック" w:hAnsi="ＭＳ ゴシック" w:cs="ＭＳ ゴシック" w:hint="eastAsia"/>
          <w:color w:val="000000"/>
          <w:kern w:val="0"/>
          <w:sz w:val="22"/>
        </w:rPr>
        <w:t>の変更をして特別特定建築物にする場合は、建築物移動等円滑化基準のうち次に掲げるものは、適用しない。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令第</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条第２項第１号、第３号、第４号及び第７号（これらの規定を令第</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条第１項（同条第３項において読み替えて適用する場合を含む。）において読み替えて準用する場合を含む。）に定める基準</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主たる出入口に係る令第</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条第２項第２号イ（令第</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条第１項（同条第３項において読み替えて適用する場合を含む。）において読み替えて準用する場合を含む。）に定める基準（幅</w:t>
      </w:r>
      <w:r>
        <w:rPr>
          <w:rFonts w:ascii="ＭＳ ゴシック" w:eastAsia="ＭＳ ゴシック" w:hAnsi="ＭＳ ゴシック" w:cs="ＭＳ ゴシック"/>
          <w:color w:val="000000"/>
          <w:kern w:val="0"/>
          <w:sz w:val="22"/>
        </w:rPr>
        <w:t>70</w:t>
      </w:r>
      <w:r>
        <w:rPr>
          <w:rFonts w:ascii="ＭＳ ゴシック" w:eastAsia="ＭＳ ゴシック" w:hAnsi="ＭＳ ゴシック" w:cs="ＭＳ ゴシック" w:hint="eastAsia"/>
          <w:color w:val="000000"/>
          <w:kern w:val="0"/>
          <w:sz w:val="22"/>
        </w:rPr>
        <w:t>センチメートルを超える部分に限る。）</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便所の出入口に係る令第</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条第２項第２号（令第</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条第１項（同条第３項において読み替えて適用する場合を含む。）において読み替えて準用する場合を含む。）に定める基準</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lastRenderedPageBreak/>
        <w:t>（平</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41</w:t>
      </w:r>
      <w:r>
        <w:rPr>
          <w:rFonts w:ascii="ＭＳ ゴシック" w:eastAsia="ＭＳ ゴシック" w:hAnsi="ＭＳ ゴシック" w:cs="ＭＳ ゴシック" w:hint="eastAsia"/>
          <w:color w:val="000000"/>
          <w:kern w:val="0"/>
          <w:sz w:val="22"/>
        </w:rPr>
        <w:t>・全改、平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（建築物移動等円滑化基準の付加等）</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15</w:t>
      </w:r>
      <w:r>
        <w:rPr>
          <w:rFonts w:ascii="ＭＳ ゴシック" w:eastAsia="ＭＳ ゴシック" w:hAnsi="ＭＳ ゴシック" w:cs="ＭＳ ゴシック" w:hint="eastAsia"/>
          <w:color w:val="000000"/>
          <w:kern w:val="0"/>
          <w:sz w:val="22"/>
        </w:rPr>
        <w:t>条　法第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条第３項の条例で建築物移動等円滑化基準に付加する事項は、次条から第</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条までに定めるものとする。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条例対象小規模特別特定建築物については、前項の規定にかかわらず、法第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条第３項の条例で建築物移動等円滑化基準に付加す</w:t>
      </w:r>
      <w:r>
        <w:rPr>
          <w:rFonts w:ascii="ＭＳ ゴシック" w:eastAsia="ＭＳ ゴシック" w:hAnsi="ＭＳ ゴシック" w:cs="ＭＳ ゴシック" w:hint="eastAsia"/>
          <w:color w:val="000000"/>
          <w:kern w:val="0"/>
          <w:sz w:val="22"/>
        </w:rPr>
        <w:t>る事項は、令第</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条から第</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条まで及び第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条から第</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条までに定める事項の例によるもの、次条から第</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条までに定める事項並びに別表第２に定める事項とする。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前２項の事項は、この条例に別段の定めのある場合を除くほか、前条に定める規模の特別特定建築物の建築についても適用する。</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41</w:t>
      </w: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（廊下、階段及び傾斜路）</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　不特定かつ多数の者が利用し、又は主として視覚障害者が利用する廊下等の下端近接部分（階段又は傾斜路（階段に代わり、又はこれに併設するもの</w:t>
      </w:r>
      <w:r>
        <w:rPr>
          <w:rFonts w:ascii="ＭＳ ゴシック" w:eastAsia="ＭＳ ゴシック" w:hAnsi="ＭＳ ゴシック" w:cs="ＭＳ ゴシック" w:hint="eastAsia"/>
          <w:color w:val="000000"/>
          <w:kern w:val="0"/>
          <w:sz w:val="22"/>
        </w:rPr>
        <w:t>に限る。）の下端に近接する部分をいう。以下同じ。）には、視覚障害者に対し段差又は傾斜の存在の警告を行うために、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敷設しなければならない。ただし、次のいずれかに該当する場合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傾斜路の勾配が</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分の１を超えない場合</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傾斜路の高さが</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センチメートルを超えず、かつ、勾配が</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分</w:t>
      </w:r>
      <w:r>
        <w:rPr>
          <w:rFonts w:ascii="ＭＳ ゴシック" w:eastAsia="ＭＳ ゴシック" w:hAnsi="ＭＳ ゴシック" w:cs="ＭＳ ゴシック" w:hint="eastAsia"/>
          <w:color w:val="000000"/>
          <w:kern w:val="0"/>
          <w:sz w:val="22"/>
        </w:rPr>
        <w:t>の１を超えない場合</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自動車の駐車のための施設である場合</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不特定かつ多数の者が利用し、又は主として視覚障害者が利用する階段の踊場の下端近接部分には、視覚障害者に対し段差の存在の警告を行うために、点状ブロック等を敷設しなければならない。ただし、次のいずれかに該当する場合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段差のある部分と連続して手すりを設ける場合</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前項第３号に該当する場合</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不特定かつ多数の者が利用し、又は主として視覚障害者が利用する傾斜路の踊場の下端近接部分には、視覚障害者に対し傾斜の存在の警</w:t>
      </w:r>
      <w:r>
        <w:rPr>
          <w:rFonts w:ascii="ＭＳ ゴシック" w:eastAsia="ＭＳ ゴシック" w:hAnsi="ＭＳ ゴシック" w:cs="ＭＳ ゴシック" w:hint="eastAsia"/>
          <w:color w:val="000000"/>
          <w:kern w:val="0"/>
          <w:sz w:val="22"/>
        </w:rPr>
        <w:t>告を行うために、点状ブロック等を敷設しなければならない。ただし、次のいずれかに該当する場合は、この限りでない。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傾斜のある部分と連続して手すりを設ける場合</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第１項各号のいずれかに該当する場合</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（便所）</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条　不特定かつ多数の者が利用し、又は主として高齢者、障害者等が利用する便所を設ける場合には、当該便所は、次に掲げるものでなければならない。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床の表面は、粗面とし、又は滑りにくい材料で仕上げること。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１以上の洗面器又は手洗い器に、レバー式、光感</w:t>
      </w:r>
      <w:r>
        <w:rPr>
          <w:rFonts w:ascii="ＭＳ ゴシック" w:eastAsia="ＭＳ ゴシック" w:hAnsi="ＭＳ ゴシック" w:cs="ＭＳ ゴシック" w:hint="eastAsia"/>
          <w:color w:val="000000"/>
          <w:kern w:val="0"/>
          <w:sz w:val="22"/>
        </w:rPr>
        <w:t>知式その他高齢者、障害者等が容易に使用できる方式の水栓（以下「特定水栓」という。）を設けること。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車いす使用者用便房以外に、腰掛便座の大便器を設けた便房を１以上設けること。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小便器を設ける場合は、そのうち１以上の周囲に手すりを設けること。</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前項の便所のうち１以上（男子用及び女子用の区別があるときは、それぞれ１以上）は、次に掲げるものでなければならない。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学校以外の特別特定建築物の建築をする場合にあっては、ベビーチェアその他の乳幼児を安全に待機させることができる設備を設けた便房を１</w:t>
      </w:r>
      <w:r>
        <w:rPr>
          <w:rFonts w:ascii="ＭＳ ゴシック" w:eastAsia="ＭＳ ゴシック" w:hAnsi="ＭＳ ゴシック" w:cs="ＭＳ ゴシック" w:hint="eastAsia"/>
          <w:color w:val="000000"/>
          <w:kern w:val="0"/>
          <w:sz w:val="22"/>
        </w:rPr>
        <w:t>以上設け、当該便房及び便所の出入口にその旨の表示を行うこと。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別表第３の左欄に掲げる特別特定建築物の建築をする場合において、当該建築の規模が同表の右欄に定める規模であるときは、ベビーベッドその他の乳幼児のおむつの交換ができる設備を設けるとともに、当該便所の出入口にその旨の表示を行うこと。ただし、他におむつの交換ができる場所を設ける場合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別表第４の左欄に掲げる特別特定建築物の建築をする場合において、当該建築の規模が同表の右欄に定める規模であるときは、次に掲げる設備をいずれも</w:t>
      </w:r>
      <w:r>
        <w:rPr>
          <w:rFonts w:ascii="ＭＳ ゴシック" w:eastAsia="ＭＳ ゴシック" w:hAnsi="ＭＳ ゴシック" w:cs="ＭＳ ゴシック" w:hint="eastAsia"/>
          <w:color w:val="000000"/>
          <w:kern w:val="0"/>
          <w:sz w:val="22"/>
        </w:rPr>
        <w:t>１以上設けるとともに、当該便所の出入口にその旨の表示を行うこと。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ベビーベッドその他の乳幼児のおむつの交換ができる設備（他におむつの交換ができる場所を設ける場合を除く。）</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高齢者、障害者等が円滑に利用することができる構造の水洗器具を設けた便房</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車いす使用者用便房は、次に掲げるものでなければならない。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くつべら式、光感知式その他車いす使用者が容易に使用できる方式の大便器洗浄装置を設けること。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洗面器又は手洗い器には、特定水栓を設けること。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別表第５の左欄に掲げる特別特定建築</w:t>
      </w:r>
      <w:r>
        <w:rPr>
          <w:rFonts w:ascii="ＭＳ ゴシック" w:eastAsia="ＭＳ ゴシック" w:hAnsi="ＭＳ ゴシック" w:cs="ＭＳ ゴシック" w:hint="eastAsia"/>
          <w:color w:val="000000"/>
          <w:kern w:val="0"/>
          <w:sz w:val="22"/>
        </w:rPr>
        <w:t>物の建築をする場合において、当該建築の規模が同表の右欄に定める規模であるときは、ベッドその他の高齢者、障害者等が円滑に衣類又は装身具の交換ができる設備を設け、当該便房及びその設置されている便所の出入口にその旨の表示を行うこと。</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便所内に令第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条第１項第１号又は第２号の規定による便房を設けるときは、建築物の主たる出入口の付近に、当該便房を設けていることを表示する標識を設けなければならない。ただし、当該出入口の付近に令第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条第１項の規定による案内板その他の設備を設ける場合は、この限りでない。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　前項の</w:t>
      </w:r>
      <w:r>
        <w:rPr>
          <w:rFonts w:ascii="ＭＳ ゴシック" w:eastAsia="ＭＳ ゴシック" w:hAnsi="ＭＳ ゴシック" w:cs="ＭＳ ゴシック" w:hint="eastAsia"/>
          <w:color w:val="000000"/>
          <w:kern w:val="0"/>
          <w:sz w:val="22"/>
        </w:rPr>
        <w:t>標識は、令第</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条に規定する標識に準じたものでなければならない。</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41</w:t>
      </w: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（ホテル又は旅館の客室）</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条　ホテル又は旅館には、客室の総数が</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以上の場合は、車いす使用者用客室及び聴覚障害者が円滑に利用できる客室（以下「聴覚障害者用客室」という。）を、いずれも次に掲げる数以上設けなければならない。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客室の総数が</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以上</w:t>
      </w:r>
      <w:r>
        <w:rPr>
          <w:rFonts w:ascii="ＭＳ ゴシック" w:eastAsia="ＭＳ ゴシック" w:hAnsi="ＭＳ ゴシック" w:cs="ＭＳ ゴシック"/>
          <w:color w:val="000000"/>
          <w:kern w:val="0"/>
          <w:sz w:val="22"/>
        </w:rPr>
        <w:t>200</w:t>
      </w:r>
      <w:r>
        <w:rPr>
          <w:rFonts w:ascii="ＭＳ ゴシック" w:eastAsia="ＭＳ ゴシック" w:hAnsi="ＭＳ ゴシック" w:cs="ＭＳ ゴシック" w:hint="eastAsia"/>
          <w:color w:val="000000"/>
          <w:kern w:val="0"/>
          <w:sz w:val="22"/>
        </w:rPr>
        <w:t>以下の場合　客室の総数を</w:t>
      </w:r>
      <w:r>
        <w:rPr>
          <w:rFonts w:ascii="ＭＳ ゴシック" w:eastAsia="ＭＳ ゴシック" w:hAnsi="ＭＳ ゴシック" w:cs="ＭＳ ゴシック"/>
          <w:color w:val="000000"/>
          <w:kern w:val="0"/>
          <w:sz w:val="22"/>
        </w:rPr>
        <w:t>50</w:t>
      </w:r>
      <w:r>
        <w:rPr>
          <w:rFonts w:ascii="ＭＳ ゴシック" w:eastAsia="ＭＳ ゴシック" w:hAnsi="ＭＳ ゴシック" w:cs="ＭＳ ゴシック" w:hint="eastAsia"/>
          <w:color w:val="000000"/>
          <w:kern w:val="0"/>
          <w:sz w:val="22"/>
        </w:rPr>
        <w:t>で除して得た数</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客室の総数が</w:t>
      </w:r>
      <w:r>
        <w:rPr>
          <w:rFonts w:ascii="ＭＳ ゴシック" w:eastAsia="ＭＳ ゴシック" w:hAnsi="ＭＳ ゴシック" w:cs="ＭＳ ゴシック"/>
          <w:color w:val="000000"/>
          <w:kern w:val="0"/>
          <w:sz w:val="22"/>
        </w:rPr>
        <w:t>200</w:t>
      </w:r>
      <w:r>
        <w:rPr>
          <w:rFonts w:ascii="ＭＳ ゴシック" w:eastAsia="ＭＳ ゴシック" w:hAnsi="ＭＳ ゴシック" w:cs="ＭＳ ゴシック" w:hint="eastAsia"/>
          <w:color w:val="000000"/>
          <w:kern w:val="0"/>
          <w:sz w:val="22"/>
        </w:rPr>
        <w:t>を超える場合　客室の総数を</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で除して得た数に２を加</w:t>
      </w:r>
      <w:r>
        <w:rPr>
          <w:rFonts w:ascii="ＭＳ ゴシック" w:eastAsia="ＭＳ ゴシック" w:hAnsi="ＭＳ ゴシック" w:cs="ＭＳ ゴシック" w:hint="eastAsia"/>
          <w:color w:val="000000"/>
          <w:kern w:val="0"/>
          <w:sz w:val="22"/>
        </w:rPr>
        <w:t>えた数</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車いす使用者用客室は、次に掲げるものでなければならない。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床の表面は、滑りにくい材料で仕上げること。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室内には、車いす使用者が円滑に利用できる空間を確保すること。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電話機、コンセント、スイッチその他の滞在者が通常使用する設備は、車いす使用者が円滑に利用できる高さに設けること。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回転灯その他の聴覚障害者に緊急情報を伝達することができる設備を設けること。</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聴覚障害者用客室は、回転灯その他の聴覚障害者に緊急情報を伝達することができる設備を設けなければならない。</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（駐車場）</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条の２　車いす使用者用駐車施設は、表面を粗面とし、又は滑りにくい材料で仕上げ、かつ、雨水等でぬかるまないようにするとともに、区画線等でその範囲を明確にしなければならない。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次に掲げる場合は、１以上の車いす使用者用駐車施設に、乗降の際の降雨及び降雪の影響を少なくできる屋根を設けなければならない。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保健所、税務署その他不特定かつ多数の者が利用する官公署の建築をする場合</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床面積の合計が</w:t>
      </w:r>
      <w:r>
        <w:rPr>
          <w:rFonts w:ascii="ＭＳ ゴシック" w:eastAsia="ＭＳ ゴシック" w:hAnsi="ＭＳ ゴシック" w:cs="ＭＳ ゴシック"/>
          <w:color w:val="000000"/>
          <w:kern w:val="0"/>
          <w:sz w:val="22"/>
        </w:rPr>
        <w:t>50</w:t>
      </w:r>
      <w:r>
        <w:rPr>
          <w:rFonts w:ascii="ＭＳ ゴシック" w:eastAsia="ＭＳ ゴシック" w:hAnsi="ＭＳ ゴシック" w:cs="ＭＳ ゴシック" w:hint="eastAsia"/>
          <w:color w:val="000000"/>
          <w:kern w:val="0"/>
          <w:sz w:val="22"/>
        </w:rPr>
        <w:t>平方メートル以上である公衆便所の建築をする場合</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床面積</w:t>
      </w:r>
      <w:r>
        <w:rPr>
          <w:rFonts w:ascii="ＭＳ ゴシック" w:eastAsia="ＭＳ ゴシック" w:hAnsi="ＭＳ ゴシック" w:cs="ＭＳ ゴシック" w:hint="eastAsia"/>
          <w:color w:val="000000"/>
          <w:kern w:val="0"/>
          <w:sz w:val="22"/>
        </w:rPr>
        <w:t>の合計が</w:t>
      </w:r>
      <w:r>
        <w:rPr>
          <w:rFonts w:ascii="ＭＳ ゴシック" w:eastAsia="ＭＳ ゴシック" w:hAnsi="ＭＳ ゴシック" w:cs="ＭＳ ゴシック"/>
          <w:color w:val="000000"/>
          <w:kern w:val="0"/>
          <w:sz w:val="22"/>
        </w:rPr>
        <w:t>5,000</w:t>
      </w:r>
      <w:r>
        <w:rPr>
          <w:rFonts w:ascii="ＭＳ ゴシック" w:eastAsia="ＭＳ ゴシック" w:hAnsi="ＭＳ ゴシック" w:cs="ＭＳ ゴシック" w:hint="eastAsia"/>
          <w:color w:val="000000"/>
          <w:kern w:val="0"/>
          <w:sz w:val="22"/>
        </w:rPr>
        <w:t>平方メートル以上である特別特定建築物の建築をする場合</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・追加）</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（移動等円滑化経路）</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条　地上階又はその直上階若しくは直下階のみに利用居室を設ける場合には、道等（令第</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条第３項に規定する場合にあっては、建築物の車寄せ。以下同じ。）から当該利用居室までの経路のうち１以上を、移動等円滑化経路にしなければならない。ただし、床面積の合計が</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平方メートルに満たない特別特定建築物については、地上階の直上階又は直下階に設ける利用居室において提供されるサービスを地上階に設ける利</w:t>
      </w:r>
      <w:r>
        <w:rPr>
          <w:rFonts w:ascii="ＭＳ ゴシック" w:eastAsia="ＭＳ ゴシック" w:hAnsi="ＭＳ ゴシック" w:cs="ＭＳ ゴシック" w:hint="eastAsia"/>
          <w:color w:val="000000"/>
          <w:kern w:val="0"/>
          <w:sz w:val="22"/>
        </w:rPr>
        <w:t>用居室においても提供できるときは、この限りでない。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移動等円滑化経路は、次に掲げるものでなければならない。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当該移動等円滑化経路を構成する出入口のうち屋外に面するものは、次に掲げるものであること。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出入りの際における降雨及び降雪の影響を少なくできるひさし又は屋根を設けること。ただし、次のいずれかに該当する場合は、この限りでない。</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ア</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当該出入口がアーケードその他の降雨及び降雪の影響の少ない場所に面する場合</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イ</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増築等の場合において、当該出入口は改修されず、かつ、敷地境界線に接している</w:t>
      </w:r>
      <w:r>
        <w:rPr>
          <w:rFonts w:ascii="ＭＳ ゴシック" w:eastAsia="ＭＳ ゴシック" w:hAnsi="ＭＳ ゴシック" w:cs="ＭＳ ゴシック" w:hint="eastAsia"/>
          <w:color w:val="000000"/>
          <w:kern w:val="0"/>
          <w:sz w:val="22"/>
        </w:rPr>
        <w:t>とき。</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ウ</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当該出入口に風除室を設ける場合</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別表第６の左欄に掲げる特別特定建築物の建築をする場合において、当該建築の規模が同表の右欄に定める規模であるときは、当該出入口の外側に音声により視覚障害者を誘導する設備を設けること。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当該移動等円滑化経路を構成する廊下等は、次に掲げるものであること。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末端付近は、車いすの転回に支障のない構造とすること。ただし、床面積の合計が</w:t>
      </w:r>
      <w:r>
        <w:rPr>
          <w:rFonts w:ascii="ＭＳ ゴシック" w:eastAsia="ＭＳ ゴシック" w:hAnsi="ＭＳ ゴシック" w:cs="ＭＳ ゴシック"/>
          <w:color w:val="000000"/>
          <w:kern w:val="0"/>
          <w:sz w:val="22"/>
        </w:rPr>
        <w:t>200</w:t>
      </w:r>
      <w:r>
        <w:rPr>
          <w:rFonts w:ascii="ＭＳ ゴシック" w:eastAsia="ＭＳ ゴシック" w:hAnsi="ＭＳ ゴシック" w:cs="ＭＳ ゴシック" w:hint="eastAsia"/>
          <w:color w:val="000000"/>
          <w:kern w:val="0"/>
          <w:sz w:val="22"/>
        </w:rPr>
        <w:t>平方メートル未満の建築物について用途の変更をして特別特定建築物にする場合は、この限りでない。</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別表第７の左欄に掲げ</w:t>
      </w:r>
      <w:r>
        <w:rPr>
          <w:rFonts w:ascii="ＭＳ ゴシック" w:eastAsia="ＭＳ ゴシック" w:hAnsi="ＭＳ ゴシック" w:cs="ＭＳ ゴシック" w:hint="eastAsia"/>
          <w:color w:val="000000"/>
          <w:kern w:val="0"/>
          <w:sz w:val="22"/>
        </w:rPr>
        <w:t>る特別特定建築物の建築をする場合において、当該建築の規模が同表の右欄に定める規模であるときは、当該廊下等に近接した場所に乳幼児の授乳及びおむつの交換ができる場所を設け、当該場所の出入口にその旨の表示を行う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ウ　次に掲げる特別特定建築物の建築をする場合において、当該特別特定建築物の床面積の合計が</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平方メートル以上であるときは、当該廊下等に近接した場所に乳幼児を預かることができる部屋を設け、当該部屋の出入口にその旨の表示を行うこと。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ア</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劇場、観覧場、映画館又は演芸場</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イ</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公共体育館等（一</w:t>
      </w:r>
      <w:r>
        <w:rPr>
          <w:rFonts w:ascii="ＭＳ ゴシック" w:eastAsia="ＭＳ ゴシック" w:hAnsi="ＭＳ ゴシック" w:cs="ＭＳ ゴシック" w:hint="eastAsia"/>
          <w:color w:val="000000"/>
          <w:kern w:val="0"/>
          <w:sz w:val="22"/>
        </w:rPr>
        <w:t>般公共の用に供される体育館又は水泳場をいう。以下同じ。）若しくはボーリング場又は遊技場</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　次に掲げる特別特定建築物の建築をする場合において、当該特別特定建築物の床面積の合計が</w:t>
      </w:r>
      <w:r>
        <w:rPr>
          <w:rFonts w:ascii="ＭＳ ゴシック" w:eastAsia="ＭＳ ゴシック" w:hAnsi="ＭＳ ゴシック" w:cs="ＭＳ ゴシック"/>
          <w:color w:val="000000"/>
          <w:kern w:val="0"/>
          <w:sz w:val="22"/>
        </w:rPr>
        <w:t>5,000</w:t>
      </w:r>
      <w:r>
        <w:rPr>
          <w:rFonts w:ascii="ＭＳ ゴシック" w:eastAsia="ＭＳ ゴシック" w:hAnsi="ＭＳ ゴシック" w:cs="ＭＳ ゴシック" w:hint="eastAsia"/>
          <w:color w:val="000000"/>
          <w:kern w:val="0"/>
          <w:sz w:val="22"/>
        </w:rPr>
        <w:t>平方メートル以上であるときは、当該廊下等に高齢者、障害者等が休憩することができる場所を設け、休憩のための椅子その他の家具を置くこと。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ア</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劇場、観覧場、映画館又は演芸場</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イ</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集会場又は公会堂</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ウ</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百貨店、マーケットその他の物品販売業を営む店舗</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エ</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ホテル（宿泊者以外の利用がある場合に限る。）</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オ</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保健所、</w:t>
      </w:r>
      <w:r>
        <w:rPr>
          <w:rFonts w:ascii="ＭＳ ゴシック" w:eastAsia="ＭＳ ゴシック" w:hAnsi="ＭＳ ゴシック" w:cs="ＭＳ ゴシック" w:hint="eastAsia"/>
          <w:color w:val="000000"/>
          <w:kern w:val="0"/>
          <w:sz w:val="22"/>
        </w:rPr>
        <w:t>税務署その他の不特定かつ多数の者が利用する官公署</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カ</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公共体育館等若しくはボーリング場又は遊技場</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キ</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博物館、美術館又は図書館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ク</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車両の停車場又は船舶若しくは航空機の発着場を構成する建築物で旅客の乗降又は待合いの用に供するもの（以下「ターミナル」という。）</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当該移動等円滑化経路のうち車いす使用者用駐車施設から屋外に面する出入口までの間は、表面が雨水等でぬかるまないようにすること。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当該移動等円滑化経路を構成するエレベーターのかご（人を乗せ昇降する部分をいう。以下同じ。）は、次に</w:t>
      </w:r>
      <w:r>
        <w:rPr>
          <w:rFonts w:ascii="ＭＳ ゴシック" w:eastAsia="ＭＳ ゴシック" w:hAnsi="ＭＳ ゴシック" w:cs="ＭＳ ゴシック" w:hint="eastAsia"/>
          <w:color w:val="000000"/>
          <w:kern w:val="0"/>
          <w:sz w:val="22"/>
        </w:rPr>
        <w:t>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内部に戸の開閉状態を確認することができる鏡を設けること。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出入口には、利用者を感知し、戸の開閉を自動的に制止する装置を設けること。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ウ　内部に手すりを設けること。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当該移動等円滑化経路を構成する敷地内の通路を縦断し、又は横断する排水溝等を設ける場合においては、当該排水溝等に、つえ、車いすの車輪等が落ちない構造のふたを設けること。</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41</w:t>
      </w: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（共同住宅の特例）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条　共同住宅においては、道等から各住戸までの経路（地上</w:t>
      </w:r>
      <w:r>
        <w:rPr>
          <w:rFonts w:ascii="ＭＳ ゴシック" w:eastAsia="ＭＳ ゴシック" w:hAnsi="ＭＳ ゴシック" w:cs="ＭＳ ゴシック" w:hint="eastAsia"/>
          <w:color w:val="000000"/>
          <w:kern w:val="0"/>
          <w:sz w:val="22"/>
        </w:rPr>
        <w:t>階又はその直上階若しくは直下階のみに住戸がある共同住宅にあっては、当該地上階とその直上階又は直下階との間の上下の移動に係る部分を除く。以下同じ。）のうち１以上を、移動等円滑化経路に準じて高齢者、障害者等が円滑に利用できる経路（以下「準移動等円滑化経路」という。）にしなければならな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準移動等円滑化経路は、別表第８に掲げるものでなければならない。</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（公益事業の事務所の特例）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条　公益事業の事務所においては、道等から視覚障害者が利用する窓口又は案内所までの経路のうち１以上</w:t>
      </w:r>
      <w:r>
        <w:rPr>
          <w:rFonts w:ascii="ＭＳ ゴシック" w:eastAsia="ＭＳ ゴシック" w:hAnsi="ＭＳ ゴシック" w:cs="ＭＳ ゴシック" w:hint="eastAsia"/>
          <w:color w:val="000000"/>
          <w:kern w:val="0"/>
          <w:sz w:val="22"/>
        </w:rPr>
        <w:t>を、視覚障害者移動等円滑化経路に準じて視覚障害者が円滑に利用できる経路（以下「準視覚障害者移動等円滑化経路」という。）にしなければならない。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準視覚障害者移動等円滑化経路は、別表第９に掲げるものでなければならない。</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（案内設備）</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条の２　次に掲げる場合は、令第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条第１項の規定により設ける設備の付近に、回転灯その他聴覚障害者に緊急情報の内容を伝達することができる設備を設けなければならない。ただし、聴覚障害者の利用上支障がないものとして知事が定める場合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保健所、税務署その他不特定かつ多数の者が利用する官公署の建築をする場合</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床面積の合計が</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平方メートル以上であるターミナルの建築をする場合</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・追加）</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（案内設備までの経路）</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条の３　次に掲げる場合であって、道等に線状ブロック等（床面に敷設されるブロックその他これに類するものであって、線状の突起が設けられており、かつ、周囲の床面との色の明度、色相又は彩度の差が大きいことにより容易に識別できるものをいう。以下同じ。）が敷設されているときは、当該敷設された場所から案内</w:t>
      </w:r>
      <w:r>
        <w:rPr>
          <w:rFonts w:ascii="ＭＳ ゴシック" w:eastAsia="ＭＳ ゴシック" w:hAnsi="ＭＳ ゴシック" w:cs="ＭＳ ゴシック" w:hint="eastAsia"/>
          <w:color w:val="000000"/>
          <w:kern w:val="0"/>
          <w:sz w:val="22"/>
        </w:rPr>
        <w:t>設備までの経路のうち１以上を視覚障害者移動等円滑化経路（公益事業の事務所にあっては、準視覚障害者移動等円滑化経路）にしなければならない。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病院若しくは診療所、保健所、税務署その他の不特定かつ多数の者が利用する官公署又はターミナルの建築をする場合</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床面積の合計が</w:t>
      </w:r>
      <w:r>
        <w:rPr>
          <w:rFonts w:ascii="ＭＳ ゴシック" w:eastAsia="ＭＳ ゴシック" w:hAnsi="ＭＳ ゴシック" w:cs="ＭＳ ゴシック"/>
          <w:color w:val="000000"/>
          <w:kern w:val="0"/>
          <w:sz w:val="22"/>
        </w:rPr>
        <w:t>50</w:t>
      </w:r>
      <w:r>
        <w:rPr>
          <w:rFonts w:ascii="ＭＳ ゴシック" w:eastAsia="ＭＳ ゴシック" w:hAnsi="ＭＳ ゴシック" w:cs="ＭＳ ゴシック" w:hint="eastAsia"/>
          <w:color w:val="000000"/>
          <w:kern w:val="0"/>
          <w:sz w:val="22"/>
        </w:rPr>
        <w:t>平方メートル以上である公衆便所の建築をする場合</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前２号に掲げるもののほか、床面積の合計が</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平方メートル以上の特別特定建築物の建築をする場合</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・追加）</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（増築等に関する適用範囲）</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22</w:t>
      </w:r>
      <w:r>
        <w:rPr>
          <w:rFonts w:ascii="ＭＳ ゴシック" w:eastAsia="ＭＳ ゴシック" w:hAnsi="ＭＳ ゴシック" w:cs="ＭＳ ゴシック" w:hint="eastAsia"/>
          <w:color w:val="000000"/>
          <w:kern w:val="0"/>
          <w:sz w:val="22"/>
        </w:rPr>
        <w:t>条　増築等の場合</w:t>
      </w:r>
      <w:r>
        <w:rPr>
          <w:rFonts w:ascii="ＭＳ ゴシック" w:eastAsia="ＭＳ ゴシック" w:hAnsi="ＭＳ ゴシック" w:cs="ＭＳ ゴシック" w:hint="eastAsia"/>
          <w:color w:val="000000"/>
          <w:kern w:val="0"/>
          <w:sz w:val="22"/>
        </w:rPr>
        <w:t>には、第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条から前条までの規定は、次に掲げる建築物の部分に限り、適用する。</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当該増築等に係る部分</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道等から前号に掲げる部分にある利用居室（共同住宅にあっては各住戸を、公益事業の事務所にあっては視覚障害者が利用する窓口又は案内所を含む。以下同じ。）までの１以上の経路を構成する出入口、廊下等、階段、傾斜路、エレベーターその他の昇降機及び敷地内の通路</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不特定かつ多数の者が利用し、又は主として高齢者、障害者等が利用する便所</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第１号に掲げる部分にある利用居室（当該部分に利用居室が設け</w:t>
      </w:r>
      <w:r>
        <w:rPr>
          <w:rFonts w:ascii="ＭＳ ゴシック" w:eastAsia="ＭＳ ゴシック" w:hAnsi="ＭＳ ゴシック" w:cs="ＭＳ ゴシック" w:hint="eastAsia"/>
          <w:color w:val="000000"/>
          <w:kern w:val="0"/>
          <w:sz w:val="22"/>
        </w:rPr>
        <w:t>られていないときは、道等）から車いす使用者用便房（前号に掲げる便所に設けられるものに限る。）までの１以上の経路を構成する出入口、廊下等、階段、傾斜路、エレベーターその他の昇降機及び敷地内の通路</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車いす使用者用駐車施設（不特定かつ多数の者が利用し、又は主として高齢者、障害者等が利用する駐車場に設けられるものに限る。）から第１号に掲げる部分にある利用居室（当該部分に利用居室が設けられていないときは、道等）までの１以上の経路を構成する出入口、廊下等、階段、傾斜路、エレベーターその他の昇降機及び敷地内の通路</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知事は、増築等の場合において、第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条、第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条又は第</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条から前条までの規定の全部又は一部を適用すると建築物の前項第１号に掲げる部分以外の部分について大規模な改修（知事が別に定めるものに限る。）が必要になり、かつ、その建築主等に当該増築等と併せて当該改修を行うことができないやむを得ない事由があると認めるときは、これらの規定の全部又は一部を適用しないことができる。</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（公立小学校等及び追加した特別特定建築物に関する読替え）</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条　公立小学校等及び第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条各号に掲げる特定</w:t>
      </w:r>
      <w:r>
        <w:rPr>
          <w:rFonts w:ascii="ＭＳ ゴシック" w:eastAsia="ＭＳ ゴシック" w:hAnsi="ＭＳ ゴシック" w:cs="ＭＳ ゴシック" w:hint="eastAsia"/>
          <w:color w:val="000000"/>
          <w:kern w:val="0"/>
          <w:sz w:val="22"/>
        </w:rPr>
        <w:t>建築物に対する第</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条第１項及び前条第１項の規定の適用については、これらの規定中「不特定かつ多数の者が利用し、又は主として高齢者、障害者等が利用する」とあるのは、「多数の者が利用する」とする。</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・一部改正）</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（適合証の交付）</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条　特定建築物を設置し、又は管理する者は、当該特定建築物を建築物移動等円滑化基準に適合させたときは、規則で定めるところにより、当該特定建築物が建築物移動等円滑化基準に適合していることを証する書面（以下「適合証」という。）の交付を知事に請求することができ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知事</w:t>
      </w:r>
      <w:r>
        <w:rPr>
          <w:rFonts w:ascii="ＭＳ ゴシック" w:eastAsia="ＭＳ ゴシック" w:hAnsi="ＭＳ ゴシック" w:cs="ＭＳ ゴシック" w:hint="eastAsia"/>
          <w:color w:val="000000"/>
          <w:kern w:val="0"/>
          <w:sz w:val="22"/>
        </w:rPr>
        <w:t>は、前項の規定による請求があった場合において、当該特定建築物が建築物移動等円滑化基準に適合していると認めるときは、当該請求をした者に対し、適合証を交付するものとする。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前項の規定による交付については、鳥取県行政手続等における情報通信の技術の利用に関する条例（平成</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年鳥取県条例第</w:t>
      </w:r>
      <w:r>
        <w:rPr>
          <w:rFonts w:ascii="ＭＳ ゴシック" w:eastAsia="ＭＳ ゴシック" w:hAnsi="ＭＳ ゴシック" w:cs="ＭＳ ゴシック"/>
          <w:color w:val="000000"/>
          <w:kern w:val="0"/>
          <w:sz w:val="22"/>
        </w:rPr>
        <w:t>42</w:t>
      </w:r>
      <w:r>
        <w:rPr>
          <w:rFonts w:ascii="ＭＳ ゴシック" w:eastAsia="ＭＳ ゴシック" w:hAnsi="ＭＳ ゴシック" w:cs="ＭＳ ゴシック" w:hint="eastAsia"/>
          <w:color w:val="000000"/>
          <w:kern w:val="0"/>
          <w:sz w:val="22"/>
        </w:rPr>
        <w:t>号）第４条の規定は、適用しない。</w:t>
      </w:r>
    </w:p>
    <w:p w:rsidR="00000000" w:rsidRDefault="000D134D">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第４章　車いすが利用しやすい施設の整備</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・追加）</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（観客席の構造）</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条　劇場、観覧場、映画館、演芸場、集会場、公会堂、競技場その他多数の者が利用する施設（以下「劇場等」</w:t>
      </w:r>
      <w:r>
        <w:rPr>
          <w:rFonts w:ascii="ＭＳ ゴシック" w:eastAsia="ＭＳ ゴシック" w:hAnsi="ＭＳ ゴシック" w:cs="ＭＳ ゴシック" w:hint="eastAsia"/>
          <w:color w:val="000000"/>
          <w:kern w:val="0"/>
          <w:sz w:val="22"/>
        </w:rPr>
        <w:t>という。）の観客席には、知事が別に定めるところにより、車いす使用者が円滑に利用できる部分（以下「車いす使用者用客席」という。）を設けるよう努めなければならない。</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車いす使用者用客席は、次に掲げるものでなければならない。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床は平坦であること。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車いす使用者１人につき、幅</w:t>
      </w:r>
      <w:r>
        <w:rPr>
          <w:rFonts w:ascii="ＭＳ ゴシック" w:eastAsia="ＭＳ ゴシック" w:hAnsi="ＭＳ ゴシック" w:cs="ＭＳ ゴシック"/>
          <w:color w:val="000000"/>
          <w:kern w:val="0"/>
          <w:sz w:val="22"/>
        </w:rPr>
        <w:t>90</w:t>
      </w:r>
      <w:r>
        <w:rPr>
          <w:rFonts w:ascii="ＭＳ ゴシック" w:eastAsia="ＭＳ ゴシック" w:hAnsi="ＭＳ ゴシック" w:cs="ＭＳ ゴシック" w:hint="eastAsia"/>
          <w:color w:val="000000"/>
          <w:kern w:val="0"/>
          <w:sz w:val="22"/>
        </w:rPr>
        <w:t>センチメートル以上、奥行き</w:t>
      </w:r>
      <w:r>
        <w:rPr>
          <w:rFonts w:ascii="ＭＳ ゴシック" w:eastAsia="ＭＳ ゴシック" w:hAnsi="ＭＳ ゴシック" w:cs="ＭＳ ゴシック"/>
          <w:color w:val="000000"/>
          <w:kern w:val="0"/>
          <w:sz w:val="22"/>
        </w:rPr>
        <w:t>120</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車いす使用者が前列の観客に遮られずに舞台等を見ることができるようにすること。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他の客席より高い位置に設けるときは、脱輪しない構造とすること。</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・追加）</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（受付カウンターの構造）</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26</w:t>
      </w:r>
      <w:r>
        <w:rPr>
          <w:rFonts w:ascii="ＭＳ ゴシック" w:eastAsia="ＭＳ ゴシック" w:hAnsi="ＭＳ ゴシック" w:cs="ＭＳ ゴシック" w:hint="eastAsia"/>
          <w:color w:val="000000"/>
          <w:kern w:val="0"/>
          <w:sz w:val="22"/>
        </w:rPr>
        <w:t>条　劇場等の受付カウンターのうち１以上は、次に掲げる構造のものとするよう努めなければならない。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高さは、</w:t>
      </w:r>
      <w:r>
        <w:rPr>
          <w:rFonts w:ascii="ＭＳ ゴシック" w:eastAsia="ＭＳ ゴシック" w:hAnsi="ＭＳ ゴシック" w:cs="ＭＳ ゴシック"/>
          <w:color w:val="000000"/>
          <w:kern w:val="0"/>
          <w:sz w:val="22"/>
        </w:rPr>
        <w:t>70</w:t>
      </w:r>
      <w:r>
        <w:rPr>
          <w:rFonts w:ascii="ＭＳ ゴシック" w:eastAsia="ＭＳ ゴシック" w:hAnsi="ＭＳ ゴシック" w:cs="ＭＳ ゴシック" w:hint="eastAsia"/>
          <w:color w:val="000000"/>
          <w:kern w:val="0"/>
          <w:sz w:val="22"/>
        </w:rPr>
        <w:t>センチメートル程度とすること。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その下部に、車いす使用者に配慮した空間を確保すること。</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・追加）</w:t>
      </w:r>
    </w:p>
    <w:p w:rsidR="00000000" w:rsidRDefault="000D134D">
      <w:pPr>
        <w:autoSpaceDE w:val="0"/>
        <w:autoSpaceDN w:val="0"/>
        <w:adjustRightInd w:val="0"/>
        <w:spacing w:line="440" w:lineRule="atLeast"/>
        <w:ind w:left="1540" w:hanging="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第５章　雑則</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・旧第４章繰下）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（規則への委任）</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　この条例に定めるもののほか、この条例の施行に関し必要な事項は、規則で定める。</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・旧第</w:t>
      </w:r>
      <w:r>
        <w:rPr>
          <w:rFonts w:ascii="ＭＳ ゴシック" w:eastAsia="ＭＳ ゴシック" w:hAnsi="ＭＳ ゴシック" w:cs="ＭＳ ゴシック"/>
          <w:color w:val="000000"/>
          <w:kern w:val="0"/>
          <w:sz w:val="22"/>
        </w:rPr>
        <w:t>25</w:t>
      </w:r>
      <w:r>
        <w:rPr>
          <w:rFonts w:ascii="ＭＳ ゴシック" w:eastAsia="ＭＳ ゴシック" w:hAnsi="ＭＳ ゴシック" w:cs="ＭＳ ゴシック" w:hint="eastAsia"/>
          <w:color w:val="000000"/>
          <w:kern w:val="0"/>
          <w:sz w:val="22"/>
        </w:rPr>
        <w:t>条繰下）</w:t>
      </w:r>
    </w:p>
    <w:p w:rsidR="00000000" w:rsidRDefault="000D134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（施行期日）</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hint="eastAsia"/>
          <w:color w:val="000000"/>
          <w:kern w:val="0"/>
          <w:sz w:val="22"/>
        </w:rPr>
        <w:t xml:space="preserve">　この条例は、平成</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年</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月１日から施行する。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（経過措置）</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この条例の施行の際現に工事中の特別特定建築物の建築又は修繕若しくは模様替については、第３章の規定は適用せず、なお従前の例による。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この条例の施行の際現に存する特別特定建築物で、法附則第４条第３項に規定する用途の変更をするものについては、第３章の規定は適用せず、なお従前の例による。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（鳥取県知事の権限に属する事務の処理の特例に関する条例の一部改正）</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鳥取県知事の権限に属する事務の処理の特例に関する条例（平成</w:t>
      </w: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年鳥取県条例第</w:t>
      </w:r>
      <w:r>
        <w:rPr>
          <w:rFonts w:ascii="ＭＳ ゴシック" w:eastAsia="ＭＳ ゴシック" w:hAnsi="ＭＳ ゴシック" w:cs="ＭＳ ゴシック"/>
          <w:color w:val="000000"/>
          <w:kern w:val="0"/>
          <w:sz w:val="22"/>
        </w:rPr>
        <w:t>35</w:t>
      </w:r>
      <w:r>
        <w:rPr>
          <w:rFonts w:ascii="ＭＳ ゴシック" w:eastAsia="ＭＳ ゴシック" w:hAnsi="ＭＳ ゴシック" w:cs="ＭＳ ゴシック" w:hint="eastAsia"/>
          <w:color w:val="000000"/>
          <w:kern w:val="0"/>
          <w:sz w:val="22"/>
        </w:rPr>
        <w:t>号）の</w:t>
      </w:r>
      <w:r>
        <w:rPr>
          <w:rFonts w:ascii="ＭＳ ゴシック" w:eastAsia="ＭＳ ゴシック" w:hAnsi="ＭＳ ゴシック" w:cs="ＭＳ ゴシック" w:hint="eastAsia"/>
          <w:color w:val="000000"/>
          <w:kern w:val="0"/>
          <w:sz w:val="22"/>
        </w:rPr>
        <w:t>一部を次のように改正する。</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〔次のよう〕略</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（検討）</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　知事は、この条例の施行後５年を経過したときは、この条例の規定及びその実施状況について検討を加え、その結果に基づいて必要な措置を講ずるものとする。</w:t>
      </w:r>
    </w:p>
    <w:p w:rsidR="00000000" w:rsidRDefault="000D134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則（平成</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年条例第</w:t>
      </w:r>
      <w:r>
        <w:rPr>
          <w:rFonts w:ascii="ＭＳ ゴシック" w:eastAsia="ＭＳ ゴシック" w:hAnsi="ＭＳ ゴシック" w:cs="ＭＳ ゴシック"/>
          <w:color w:val="000000"/>
          <w:kern w:val="0"/>
          <w:sz w:val="22"/>
        </w:rPr>
        <w:t>57</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この条例は、公布の日から施行する。</w:t>
      </w:r>
    </w:p>
    <w:p w:rsidR="00000000" w:rsidRDefault="000D134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則（平成</w:t>
      </w:r>
      <w:r>
        <w:rPr>
          <w:rFonts w:ascii="ＭＳ ゴシック" w:eastAsia="ＭＳ ゴシック" w:hAnsi="ＭＳ ゴシック" w:cs="ＭＳ ゴシック"/>
          <w:color w:val="000000"/>
          <w:kern w:val="0"/>
          <w:sz w:val="22"/>
        </w:rPr>
        <w:t>23</w:t>
      </w:r>
      <w:r>
        <w:rPr>
          <w:rFonts w:ascii="ＭＳ ゴシック" w:eastAsia="ＭＳ ゴシック" w:hAnsi="ＭＳ ゴシック" w:cs="ＭＳ ゴシック" w:hint="eastAsia"/>
          <w:color w:val="000000"/>
          <w:kern w:val="0"/>
          <w:sz w:val="22"/>
        </w:rPr>
        <w:t>年条例第</w:t>
      </w:r>
      <w:r>
        <w:rPr>
          <w:rFonts w:ascii="ＭＳ ゴシック" w:eastAsia="ＭＳ ゴシック" w:hAnsi="ＭＳ ゴシック" w:cs="ＭＳ ゴシック"/>
          <w:color w:val="000000"/>
          <w:kern w:val="0"/>
          <w:sz w:val="22"/>
        </w:rPr>
        <w:t>41</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（施行期日）</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この条例は、平成</w:t>
      </w:r>
      <w:r>
        <w:rPr>
          <w:rFonts w:ascii="ＭＳ ゴシック" w:eastAsia="ＭＳ ゴシック" w:hAnsi="ＭＳ ゴシック" w:cs="ＭＳ ゴシック"/>
          <w:color w:val="000000"/>
          <w:kern w:val="0"/>
          <w:sz w:val="22"/>
        </w:rPr>
        <w:t>24</w:t>
      </w:r>
      <w:r>
        <w:rPr>
          <w:rFonts w:ascii="ＭＳ ゴシック" w:eastAsia="ＭＳ ゴシック" w:hAnsi="ＭＳ ゴシック" w:cs="ＭＳ ゴシック" w:hint="eastAsia"/>
          <w:color w:val="000000"/>
          <w:kern w:val="0"/>
          <w:sz w:val="22"/>
        </w:rPr>
        <w:t>年１月１日から施行する。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（経過措置）</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この条例の施行の際現に工事中の特別特定建築物の建築又は修繕若しくは模様替については、なお従前の例による。</w:t>
      </w:r>
    </w:p>
    <w:p w:rsidR="00000000" w:rsidRDefault="000D134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則（平成</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年条例第</w:t>
      </w:r>
      <w:r>
        <w:rPr>
          <w:rFonts w:ascii="ＭＳ ゴシック" w:eastAsia="ＭＳ ゴシック" w:hAnsi="ＭＳ ゴシック" w:cs="ＭＳ ゴシック"/>
          <w:color w:val="000000"/>
          <w:kern w:val="0"/>
          <w:sz w:val="22"/>
        </w:rPr>
        <w:t>52</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この条例は、公布の日から施行する。</w:t>
      </w:r>
    </w:p>
    <w:p w:rsidR="00000000" w:rsidRDefault="000D134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則（平成</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年条例第</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号）抄</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（施行期日）</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この条例は、平成</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年１月１日から施行する。ただし、第２条及び第３条の規定は、同年４月１日から施行する。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（経過措置）</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第２条及び第３条の規定による改正後の鳥取県福祉のまちづくり条例の規定は、平成</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年４月１日以後に開始する建築物の建築又は用途の変更について適用し、同日前に開始された建築物の建築又は用途の変更については、なお従前の例による。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（検討）</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知事は、この条例の施行後５年を経過したとき</w:t>
      </w:r>
      <w:r>
        <w:rPr>
          <w:rFonts w:ascii="ＭＳ ゴシック" w:eastAsia="ＭＳ ゴシック" w:hAnsi="ＭＳ ゴシック" w:cs="ＭＳ ゴシック" w:hint="eastAsia"/>
          <w:color w:val="000000"/>
          <w:kern w:val="0"/>
          <w:sz w:val="22"/>
        </w:rPr>
        <w:t>は、鳥取県福祉のまちづくり条例の規定及びその実施状況について検討を加え、その結果に基づいて必要な措置を講ずるものとする。</w:t>
      </w:r>
    </w:p>
    <w:p w:rsidR="00000000" w:rsidRDefault="000D134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則（平成</w:t>
      </w:r>
      <w:r>
        <w:rPr>
          <w:rFonts w:ascii="ＭＳ ゴシック" w:eastAsia="ＭＳ ゴシック" w:hAnsi="ＭＳ ゴシック" w:cs="ＭＳ ゴシック"/>
          <w:color w:val="000000"/>
          <w:kern w:val="0"/>
          <w:sz w:val="22"/>
        </w:rPr>
        <w:t>28</w:t>
      </w:r>
      <w:r>
        <w:rPr>
          <w:rFonts w:ascii="ＭＳ ゴシック" w:eastAsia="ＭＳ ゴシック" w:hAnsi="ＭＳ ゴシック" w:cs="ＭＳ ゴシック" w:hint="eastAsia"/>
          <w:color w:val="000000"/>
          <w:kern w:val="0"/>
          <w:sz w:val="22"/>
        </w:rPr>
        <w:t>年条例第</w:t>
      </w:r>
      <w:r>
        <w:rPr>
          <w:rFonts w:ascii="ＭＳ ゴシック" w:eastAsia="ＭＳ ゴシック" w:hAnsi="ＭＳ ゴシック" w:cs="ＭＳ ゴシック"/>
          <w:color w:val="000000"/>
          <w:kern w:val="0"/>
          <w:sz w:val="22"/>
        </w:rPr>
        <w:t>51</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この条例は、平成</w:t>
      </w:r>
      <w:r>
        <w:rPr>
          <w:rFonts w:ascii="ＭＳ ゴシック" w:eastAsia="ＭＳ ゴシック" w:hAnsi="ＭＳ ゴシック" w:cs="ＭＳ ゴシック"/>
          <w:color w:val="000000"/>
          <w:kern w:val="0"/>
          <w:sz w:val="22"/>
        </w:rPr>
        <w:t>29</w:t>
      </w:r>
      <w:r>
        <w:rPr>
          <w:rFonts w:ascii="ＭＳ ゴシック" w:eastAsia="ＭＳ ゴシック" w:hAnsi="ＭＳ ゴシック" w:cs="ＭＳ ゴシック" w:hint="eastAsia"/>
          <w:color w:val="000000"/>
          <w:kern w:val="0"/>
          <w:sz w:val="22"/>
        </w:rPr>
        <w:t>年４月１日から施行する。</w:t>
      </w:r>
    </w:p>
    <w:p w:rsidR="00000000" w:rsidRDefault="000D134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則（令和３年条例第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ind w:firstLine="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この条例は、令和３年４月１日から施行する。</w:t>
      </w:r>
    </w:p>
    <w:p w:rsidR="00000000" w:rsidRDefault="000D134D">
      <w:pPr>
        <w:autoSpaceDE w:val="0"/>
        <w:autoSpaceDN w:val="0"/>
        <w:adjustRightInd w:val="0"/>
        <w:spacing w:line="440" w:lineRule="atLeast"/>
        <w:ind w:left="66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附　則（令和３年条例第</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号）</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（施行期日）</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この条例は、令和３年</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月１日から施行する。</w:t>
      </w:r>
    </w:p>
    <w:p w:rsidR="00000000" w:rsidRDefault="000D134D">
      <w:pPr>
        <w:autoSpaceDE w:val="0"/>
        <w:autoSpaceDN w:val="0"/>
        <w:adjustRightInd w:val="0"/>
        <w:spacing w:line="440" w:lineRule="atLeast"/>
        <w:ind w:left="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（経過措置）</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この条例の施行の際現に工事中の特別特定建築物の建築又は修繕若しくは模様替については、なお従前の例による。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別表第１（第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条関係）</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・全改、令３条例</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・一部改正）</w:t>
      </w:r>
    </w:p>
    <w:tbl>
      <w:tblPr>
        <w:tblW w:w="0" w:type="auto"/>
        <w:tblInd w:w="5" w:type="dxa"/>
        <w:tblLayout w:type="fixed"/>
        <w:tblCellMar>
          <w:left w:w="0" w:type="dxa"/>
          <w:right w:w="0" w:type="dxa"/>
        </w:tblCellMar>
        <w:tblLook w:val="0000" w:firstRow="0" w:lastRow="0" w:firstColumn="0" w:lastColumn="0" w:noHBand="0" w:noVBand="0"/>
      </w:tblPr>
      <w:tblGrid>
        <w:gridCol w:w="1995"/>
        <w:gridCol w:w="3900"/>
        <w:gridCol w:w="3084"/>
      </w:tblGrid>
      <w:tr w:rsidR="00000000">
        <w:tblPrEx>
          <w:tblCellMar>
            <w:top w:w="0" w:type="dxa"/>
            <w:left w:w="0" w:type="dxa"/>
            <w:bottom w:w="0" w:type="dxa"/>
            <w:right w:w="0" w:type="dxa"/>
          </w:tblCellMar>
        </w:tblPrEx>
        <w:tc>
          <w:tcPr>
            <w:tcW w:w="5895" w:type="dxa"/>
            <w:gridSpan w:val="2"/>
            <w:tcBorders>
              <w:top w:val="single" w:sz="4" w:space="0" w:color="000000"/>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区分</w:t>
            </w:r>
          </w:p>
        </w:tc>
        <w:tc>
          <w:tcPr>
            <w:tcW w:w="3084" w:type="dxa"/>
            <w:tcBorders>
              <w:top w:val="single" w:sz="4" w:space="0" w:color="000000"/>
              <w:left w:val="nil"/>
              <w:bottom w:val="single" w:sz="4" w:space="0" w:color="000000"/>
              <w:right w:val="single" w:sz="4" w:space="0" w:color="000000"/>
            </w:tcBorders>
          </w:tcPr>
          <w:p w:rsidR="00000000" w:rsidRDefault="000D134D">
            <w:pPr>
              <w:autoSpaceDE w:val="0"/>
              <w:autoSpaceDN w:val="0"/>
              <w:adjustRightInd w:val="0"/>
              <w:spacing w:line="440" w:lineRule="atLeast"/>
              <w:jc w:val="center"/>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規模</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公立小学校等</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令第</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条第２項第５号に定める基準を適用する場合（以下「エレベーターの場合」という。）</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その他の建築物移動等円滑化基準（令第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条第１項に定める基準を除く。）を適用する場合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特別支援学校</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各種学校又は専修学校</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条第１項に定める基</w:t>
            </w:r>
            <w:r>
              <w:rPr>
                <w:rFonts w:ascii="ＭＳ ゴシック" w:eastAsia="ＭＳ ゴシック" w:hAnsi="ＭＳ ゴシック" w:cs="ＭＳ ゴシック" w:hint="eastAsia"/>
                <w:color w:val="000000"/>
                <w:kern w:val="0"/>
                <w:sz w:val="22"/>
              </w:rPr>
              <w:t>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令第</w:t>
            </w:r>
            <w:r>
              <w:rPr>
                <w:rFonts w:ascii="ＭＳ ゴシック" w:eastAsia="ＭＳ ゴシック" w:hAnsi="ＭＳ ゴシック" w:cs="ＭＳ ゴシック"/>
                <w:color w:val="000000"/>
                <w:kern w:val="0"/>
                <w:sz w:val="22"/>
              </w:rPr>
              <w:t>18</w:t>
            </w:r>
            <w:r>
              <w:rPr>
                <w:rFonts w:ascii="ＭＳ ゴシック" w:eastAsia="ＭＳ ゴシック" w:hAnsi="ＭＳ ゴシック" w:cs="ＭＳ ゴシック" w:hint="eastAsia"/>
                <w:color w:val="000000"/>
                <w:kern w:val="0"/>
                <w:sz w:val="22"/>
              </w:rPr>
              <w:t>条第２項第２号（主たる出入口に適用する場合に限る。）及び第７号に定める基準を適用する場合（以下「玄関及び敷地内通路の場合」という。）</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公立小学校等、特別支援学校、各種学校又は専修学校以外の学校</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令第</w:t>
            </w:r>
            <w:r>
              <w:rPr>
                <w:rFonts w:ascii="ＭＳ ゴシック" w:eastAsia="ＭＳ ゴシック" w:hAnsi="ＭＳ ゴシック" w:cs="ＭＳ ゴシック"/>
                <w:color w:val="000000"/>
                <w:kern w:val="0"/>
                <w:sz w:val="22"/>
              </w:rPr>
              <w:t>14</w:t>
            </w:r>
            <w:r>
              <w:rPr>
                <w:rFonts w:ascii="ＭＳ ゴシック" w:eastAsia="ＭＳ ゴシック" w:hAnsi="ＭＳ ゴシック" w:cs="ＭＳ ゴシック" w:hint="eastAsia"/>
                <w:color w:val="000000"/>
                <w:kern w:val="0"/>
                <w:sz w:val="22"/>
              </w:rPr>
              <w:t>条第１項に定める基準を適用する場合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w:t>
            </w:r>
            <w:r>
              <w:rPr>
                <w:rFonts w:ascii="ＭＳ ゴシック" w:eastAsia="ＭＳ ゴシック" w:hAnsi="ＭＳ ゴシック" w:cs="ＭＳ ゴシック" w:hint="eastAsia"/>
                <w:color w:val="000000"/>
                <w:kern w:val="0"/>
                <w:sz w:val="22"/>
              </w:rPr>
              <w:t>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病院</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診療所</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劇場、観覧場、映画館又は演芸場</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w:t>
            </w:r>
            <w:r>
              <w:rPr>
                <w:rFonts w:ascii="ＭＳ ゴシック" w:eastAsia="ＭＳ ゴシック" w:hAnsi="ＭＳ ゴシック" w:cs="ＭＳ ゴシック" w:hint="eastAsia"/>
                <w:color w:val="000000"/>
                <w:kern w:val="0"/>
                <w:sz w:val="22"/>
              </w:rPr>
              <w:t>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集会所又は公会堂</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展示場</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百貨店、マーケットその他の物品販売業を営む店舗</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w:t>
            </w:r>
            <w:r>
              <w:rPr>
                <w:rFonts w:ascii="ＭＳ ゴシック" w:eastAsia="ＭＳ ゴシック" w:hAnsi="ＭＳ ゴシック" w:cs="ＭＳ ゴシック" w:hint="eastAsia"/>
                <w:color w:val="000000"/>
                <w:kern w:val="0"/>
                <w:sz w:val="22"/>
              </w:rPr>
              <w:t>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ホテル又は旅館</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客室の総数が</w:t>
            </w: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以上、かつ、床面積の合計</w:t>
            </w:r>
            <w:r>
              <w:rPr>
                <w:rFonts w:ascii="ＭＳ ゴシック" w:eastAsia="ＭＳ ゴシック" w:hAnsi="ＭＳ ゴシック" w:cs="ＭＳ ゴシック"/>
                <w:color w:val="000000"/>
                <w:kern w:val="0"/>
                <w:sz w:val="22"/>
              </w:rPr>
              <w:t>200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公益事業の事務所</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保健所、税務署その他の不</w:t>
            </w:r>
            <w:r>
              <w:rPr>
                <w:rFonts w:ascii="ＭＳ ゴシック" w:eastAsia="ＭＳ ゴシック" w:hAnsi="ＭＳ ゴシック" w:cs="ＭＳ ゴシック" w:hint="eastAsia"/>
                <w:color w:val="000000"/>
                <w:kern w:val="0"/>
                <w:sz w:val="22"/>
              </w:rPr>
              <w:t>特定かつ多数の者が利用する官公署</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共同住宅、寄宿舎又は下宿</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老人ホーム、保育所、福祉ホームその他これらに類するもの</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w:t>
            </w:r>
            <w:r>
              <w:rPr>
                <w:rFonts w:ascii="ＭＳ ゴシック" w:eastAsia="ＭＳ ゴシック" w:hAnsi="ＭＳ ゴシック" w:cs="ＭＳ ゴシック" w:hint="eastAsia"/>
                <w:color w:val="000000"/>
                <w:kern w:val="0"/>
                <w:sz w:val="22"/>
              </w:rPr>
              <w:t>合計</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老人福祉センター、児童厚生施設、身体障害者福祉センターその他これらに類するもの</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公共体育館等又はボーリング場</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遊技場</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w:t>
            </w:r>
            <w:r>
              <w:rPr>
                <w:rFonts w:ascii="ＭＳ ゴシック" w:eastAsia="ＭＳ ゴシック" w:hAnsi="ＭＳ ゴシック" w:cs="ＭＳ ゴシック" w:hint="eastAsia"/>
                <w:color w:val="000000"/>
                <w:kern w:val="0"/>
                <w:sz w:val="22"/>
              </w:rPr>
              <w:t>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第</w:t>
            </w:r>
            <w:r>
              <w:rPr>
                <w:rFonts w:ascii="ＭＳ ゴシック" w:eastAsia="ＭＳ ゴシック" w:hAnsi="ＭＳ ゴシック" w:cs="ＭＳ ゴシック"/>
                <w:color w:val="000000"/>
                <w:kern w:val="0"/>
                <w:sz w:val="22"/>
              </w:rPr>
              <w:t>13</w:t>
            </w:r>
            <w:r>
              <w:rPr>
                <w:rFonts w:ascii="ＭＳ ゴシック" w:eastAsia="ＭＳ ゴシック" w:hAnsi="ＭＳ ゴシック" w:cs="ＭＳ ゴシック" w:hint="eastAsia"/>
                <w:color w:val="000000"/>
                <w:kern w:val="0"/>
                <w:sz w:val="22"/>
              </w:rPr>
              <w:t>条第５号に掲げる体育館、水泳場、ボーリング場その他これらに類する運動施設</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博物館、美術館又は図書館</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公衆浴場</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飲食店又はクリーニング取次店、質屋、貸衣装屋、銀行その他これらに類するサービス業を営む店舗</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理髪店、美容院その他これらに類するサービス業を営む店舗</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w:t>
            </w:r>
            <w:r>
              <w:rPr>
                <w:rFonts w:ascii="ＭＳ ゴシック" w:eastAsia="ＭＳ ゴシック" w:hAnsi="ＭＳ ゴシック" w:cs="ＭＳ ゴシック" w:hint="eastAsia"/>
                <w:color w:val="000000"/>
                <w:kern w:val="0"/>
                <w:sz w:val="22"/>
              </w:rPr>
              <w:t>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自動車教習所等</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ターミナル</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エレベーターの場合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自動車の停留又は駐車のため</w:t>
            </w:r>
            <w:r>
              <w:rPr>
                <w:rFonts w:ascii="ＭＳ ゴシック" w:eastAsia="ＭＳ ゴシック" w:hAnsi="ＭＳ ゴシック" w:cs="ＭＳ ゴシック" w:hint="eastAsia"/>
                <w:color w:val="000000"/>
                <w:kern w:val="0"/>
                <w:sz w:val="22"/>
              </w:rPr>
              <w:t>の施設（一般公共の用に供されるものに限る。）</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公衆便所</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1995" w:type="dxa"/>
            <w:vMerge w:val="restart"/>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公共用歩廊</w:t>
            </w: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玄関及び敷地内通路の場合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1995" w:type="dxa"/>
            <w:vMerge/>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jc w:val="left"/>
              <w:rPr>
                <w:rFonts w:ascii="Arial" w:hAnsi="Arial" w:cs="Arial"/>
                <w:kern w:val="0"/>
                <w:sz w:val="24"/>
                <w:szCs w:val="24"/>
              </w:rPr>
            </w:pPr>
          </w:p>
        </w:tc>
        <w:tc>
          <w:tcPr>
            <w:tcW w:w="3900"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その他の建築物移動等円滑化基準を適用する場合</w:t>
            </w:r>
          </w:p>
        </w:tc>
        <w:tc>
          <w:tcPr>
            <w:tcW w:w="3084"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bl>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備考　工事期間中に限ってその用途に供される仮設建築物（令第５条に定める用途のう</w:t>
      </w:r>
      <w:r>
        <w:rPr>
          <w:rFonts w:ascii="ＭＳ ゴシック" w:eastAsia="ＭＳ ゴシック" w:hAnsi="ＭＳ ゴシック" w:cs="ＭＳ ゴシック" w:hint="eastAsia"/>
          <w:color w:val="000000"/>
          <w:kern w:val="0"/>
          <w:sz w:val="22"/>
        </w:rPr>
        <w:t>ち床面積の合計が</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平方メートル以上のものを除く。）は、特別特定建築物には含まれないものとする。</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別表第２（第</w:t>
      </w:r>
      <w:r>
        <w:rPr>
          <w:rFonts w:ascii="ＭＳ ゴシック" w:eastAsia="ＭＳ ゴシック" w:hAnsi="ＭＳ ゴシック" w:cs="ＭＳ ゴシック"/>
          <w:color w:val="000000"/>
          <w:kern w:val="0"/>
          <w:sz w:val="22"/>
        </w:rPr>
        <w:t>15</w:t>
      </w:r>
      <w:r>
        <w:rPr>
          <w:rFonts w:ascii="ＭＳ ゴシック" w:eastAsia="ＭＳ ゴシック" w:hAnsi="ＭＳ ゴシック" w:cs="ＭＳ ゴシック" w:hint="eastAsia"/>
          <w:color w:val="000000"/>
          <w:kern w:val="0"/>
          <w:sz w:val="22"/>
        </w:rPr>
        <w:t>条関係）</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・追加）</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次に掲げる場合には、それぞれ当該各号に定める経路のうち１以上を、移動等円滑化経路にしなければならない。</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建築物又はその敷地に車いす使用者用便房（車いす使用者用客室に設けられるものを除く。以下同じ。）を設ける場合　利用居室（当該建築物に利用居室が設けられていないときは、道等。次号において同じ。）から当該車いす使用者用便房までの経路</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建築物</w:t>
      </w:r>
      <w:r>
        <w:rPr>
          <w:rFonts w:ascii="ＭＳ ゴシック" w:eastAsia="ＭＳ ゴシック" w:hAnsi="ＭＳ ゴシック" w:cs="ＭＳ ゴシック" w:hint="eastAsia"/>
          <w:color w:val="000000"/>
          <w:kern w:val="0"/>
          <w:sz w:val="22"/>
        </w:rPr>
        <w:t>又はその敷地に車いす使用者用駐車施設を設ける場合　当該車いす使用者用駐車施設から利用居室までの経路</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移動等円滑化経路は、次に掲げるものでなければならない。</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当該移動等円滑化経路を構成する廊下等は、令で定める幅の基準に</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センチメートルの幅の基準を付加したものであること。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当該移動等円滑化経路を構成する傾斜路（階段に代わり、又はこれに併設するものに限る。）は、階段に代わるものにあっては令で定める幅の基準に</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センチメートルの幅の基準を付加したものであること。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当該移動等円滑化経路を</w:t>
      </w:r>
      <w:r>
        <w:rPr>
          <w:rFonts w:ascii="ＭＳ ゴシック" w:eastAsia="ＭＳ ゴシック" w:hAnsi="ＭＳ ゴシック" w:cs="ＭＳ ゴシック" w:hint="eastAsia"/>
          <w:color w:val="000000"/>
          <w:kern w:val="0"/>
          <w:sz w:val="22"/>
        </w:rPr>
        <w:t>構成する敷地内の通路は、次に掲げるものであること。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令で定める幅の基準に</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センチメートルの幅の基準を付加したものであること。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傾斜路の幅は、段に代わるものにあっては令で定める幅の基準に</w:t>
      </w:r>
      <w:r>
        <w:rPr>
          <w:rFonts w:ascii="ＭＳ ゴシック" w:eastAsia="ＭＳ ゴシック" w:hAnsi="ＭＳ ゴシック" w:cs="ＭＳ ゴシック"/>
          <w:color w:val="000000"/>
          <w:kern w:val="0"/>
          <w:sz w:val="22"/>
        </w:rPr>
        <w:t>30</w:t>
      </w:r>
      <w:r>
        <w:rPr>
          <w:rFonts w:ascii="ＭＳ ゴシック" w:eastAsia="ＭＳ ゴシック" w:hAnsi="ＭＳ ゴシック" w:cs="ＭＳ ゴシック" w:hint="eastAsia"/>
          <w:color w:val="000000"/>
          <w:kern w:val="0"/>
          <w:sz w:val="22"/>
        </w:rPr>
        <w:t>センチメートルの幅の基準を付加したものであること。</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別表第３（第</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条関係）</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・全改、令３条例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・旧別表第２繰下）</w:t>
      </w:r>
    </w:p>
    <w:tbl>
      <w:tblPr>
        <w:tblW w:w="0" w:type="auto"/>
        <w:tblInd w:w="5" w:type="dxa"/>
        <w:tblLayout w:type="fixed"/>
        <w:tblCellMar>
          <w:left w:w="0" w:type="dxa"/>
          <w:right w:w="0" w:type="dxa"/>
        </w:tblCellMar>
        <w:tblLook w:val="0000" w:firstRow="0" w:lastRow="0" w:firstColumn="0" w:lastColumn="0" w:noHBand="0" w:noVBand="0"/>
      </w:tblPr>
      <w:tblGrid>
        <w:gridCol w:w="5351"/>
        <w:gridCol w:w="3719"/>
      </w:tblGrid>
      <w:tr w:rsidR="00000000">
        <w:tblPrEx>
          <w:tblCellMar>
            <w:top w:w="0" w:type="dxa"/>
            <w:left w:w="0" w:type="dxa"/>
            <w:bottom w:w="0" w:type="dxa"/>
            <w:right w:w="0" w:type="dxa"/>
          </w:tblCellMar>
        </w:tblPrEx>
        <w:tc>
          <w:tcPr>
            <w:tcW w:w="5351" w:type="dxa"/>
            <w:tcBorders>
              <w:top w:val="single" w:sz="4" w:space="0" w:color="000000"/>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病院</w:t>
            </w:r>
          </w:p>
        </w:tc>
        <w:tc>
          <w:tcPr>
            <w:tcW w:w="3719" w:type="dxa"/>
            <w:tcBorders>
              <w:top w:val="single" w:sz="4" w:space="0" w:color="000000"/>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劇場、観覧場、映画館又は演芸場</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集会場又は公会堂</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百貨店、マーケットその他の物品販売業</w:t>
            </w:r>
            <w:r>
              <w:rPr>
                <w:rFonts w:ascii="ＭＳ ゴシック" w:eastAsia="ＭＳ ゴシック" w:hAnsi="ＭＳ ゴシック" w:cs="ＭＳ ゴシック" w:hint="eastAsia"/>
                <w:color w:val="000000"/>
                <w:kern w:val="0"/>
                <w:sz w:val="22"/>
              </w:rPr>
              <w:t>を営む店舗</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ホテル（宿泊者以外の利用がある場合に限る。）</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保健所、税務署その他の不特定かつ多数の者が利用する官公署</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公共体育館等若しくはボーリング場又は遊技場</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博物館、美術館又は図書館</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ターミナル</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公衆便所</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w:t>
            </w:r>
            <w:r>
              <w:rPr>
                <w:rFonts w:ascii="ＭＳ ゴシック" w:eastAsia="ＭＳ ゴシック" w:hAnsi="ＭＳ ゴシック" w:cs="ＭＳ ゴシック" w:hint="eastAsia"/>
                <w:color w:val="000000"/>
                <w:kern w:val="0"/>
                <w:sz w:val="22"/>
              </w:rPr>
              <w:t>平方メートル以上</w:t>
            </w:r>
          </w:p>
        </w:tc>
      </w:tr>
    </w:tbl>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別表第４（第</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条関係）</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・全改、令３条例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・旧別表第３繰下）</w:t>
      </w:r>
    </w:p>
    <w:tbl>
      <w:tblPr>
        <w:tblW w:w="0" w:type="auto"/>
        <w:tblInd w:w="5" w:type="dxa"/>
        <w:tblLayout w:type="fixed"/>
        <w:tblCellMar>
          <w:left w:w="0" w:type="dxa"/>
          <w:right w:w="0" w:type="dxa"/>
        </w:tblCellMar>
        <w:tblLook w:val="0000" w:firstRow="0" w:lastRow="0" w:firstColumn="0" w:lastColumn="0" w:noHBand="0" w:noVBand="0"/>
      </w:tblPr>
      <w:tblGrid>
        <w:gridCol w:w="5351"/>
        <w:gridCol w:w="3719"/>
      </w:tblGrid>
      <w:tr w:rsidR="00000000">
        <w:tblPrEx>
          <w:tblCellMar>
            <w:top w:w="0" w:type="dxa"/>
            <w:left w:w="0" w:type="dxa"/>
            <w:bottom w:w="0" w:type="dxa"/>
            <w:right w:w="0" w:type="dxa"/>
          </w:tblCellMar>
        </w:tblPrEx>
        <w:tc>
          <w:tcPr>
            <w:tcW w:w="5351" w:type="dxa"/>
            <w:tcBorders>
              <w:top w:val="single" w:sz="4" w:space="0" w:color="000000"/>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病院</w:t>
            </w:r>
          </w:p>
        </w:tc>
        <w:tc>
          <w:tcPr>
            <w:tcW w:w="3719" w:type="dxa"/>
            <w:tcBorders>
              <w:top w:val="single" w:sz="4" w:space="0" w:color="000000"/>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劇場、観覧場、映画館又は演芸場</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集会場又は公会堂</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百貨店、マーケットその他の物品販売業を営む店舗</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ホテル（宿泊者以外の利用がある場合に限る。）</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保健所、税務署その他の不特定かつ多数の者が利用する官公署</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公共体育館等若しくはボーリング場又は遊技場</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博物館、美術館又は図書館</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ターミナル</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bl>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別表第５（第</w:t>
      </w:r>
      <w:r>
        <w:rPr>
          <w:rFonts w:ascii="ＭＳ ゴシック" w:eastAsia="ＭＳ ゴシック" w:hAnsi="ＭＳ ゴシック" w:cs="ＭＳ ゴシック"/>
          <w:color w:val="000000"/>
          <w:kern w:val="0"/>
          <w:sz w:val="22"/>
        </w:rPr>
        <w:t>17</w:t>
      </w:r>
      <w:r>
        <w:rPr>
          <w:rFonts w:ascii="ＭＳ ゴシック" w:eastAsia="ＭＳ ゴシック" w:hAnsi="ＭＳ ゴシック" w:cs="ＭＳ ゴシック" w:hint="eastAsia"/>
          <w:color w:val="000000"/>
          <w:kern w:val="0"/>
          <w:sz w:val="22"/>
        </w:rPr>
        <w:t>条関係）</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・全改、令３条例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・旧別表第４繰下）</w:t>
      </w:r>
    </w:p>
    <w:tbl>
      <w:tblPr>
        <w:tblW w:w="0" w:type="auto"/>
        <w:tblInd w:w="5" w:type="dxa"/>
        <w:tblLayout w:type="fixed"/>
        <w:tblCellMar>
          <w:left w:w="0" w:type="dxa"/>
          <w:right w:w="0" w:type="dxa"/>
        </w:tblCellMar>
        <w:tblLook w:val="0000" w:firstRow="0" w:lastRow="0" w:firstColumn="0" w:lastColumn="0" w:noHBand="0" w:noVBand="0"/>
      </w:tblPr>
      <w:tblGrid>
        <w:gridCol w:w="5351"/>
        <w:gridCol w:w="3719"/>
      </w:tblGrid>
      <w:tr w:rsidR="00000000">
        <w:tblPrEx>
          <w:tblCellMar>
            <w:top w:w="0" w:type="dxa"/>
            <w:left w:w="0" w:type="dxa"/>
            <w:bottom w:w="0" w:type="dxa"/>
            <w:right w:w="0" w:type="dxa"/>
          </w:tblCellMar>
        </w:tblPrEx>
        <w:tc>
          <w:tcPr>
            <w:tcW w:w="5351" w:type="dxa"/>
            <w:tcBorders>
              <w:top w:val="single" w:sz="4" w:space="0" w:color="000000"/>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特別支援学校</w:t>
            </w:r>
          </w:p>
        </w:tc>
        <w:tc>
          <w:tcPr>
            <w:tcW w:w="3719" w:type="dxa"/>
            <w:tcBorders>
              <w:top w:val="single" w:sz="4" w:space="0" w:color="000000"/>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病院</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劇場、観覧場、映画館又は演芸場</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集会場又は公会堂</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百貨店、マーケットその他の物品販売業を営む店舗</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ホテル（宿泊者以外の利用がある場合に限る。）</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w:t>
            </w:r>
            <w:r>
              <w:rPr>
                <w:rFonts w:ascii="ＭＳ ゴシック" w:eastAsia="ＭＳ ゴシック" w:hAnsi="ＭＳ ゴシック" w:cs="ＭＳ ゴシック" w:hint="eastAsia"/>
                <w:color w:val="000000"/>
                <w:kern w:val="0"/>
                <w:sz w:val="22"/>
              </w:rPr>
              <w:t>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保健所、税務署その他の不特定かつ多数の者が利用する官公署</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公共体育館等若しくはボーリング場又は遊技場</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博物館、美術館又は図書館</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ターミナル</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公衆便所</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w:t>
            </w:r>
            <w:r>
              <w:rPr>
                <w:rFonts w:ascii="ＭＳ ゴシック" w:eastAsia="ＭＳ ゴシック" w:hAnsi="ＭＳ ゴシック" w:cs="ＭＳ ゴシック" w:hint="eastAsia"/>
                <w:color w:val="000000"/>
                <w:kern w:val="0"/>
                <w:sz w:val="22"/>
              </w:rPr>
              <w:t>平方メートル以上</w:t>
            </w:r>
          </w:p>
        </w:tc>
      </w:tr>
    </w:tbl>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別表第６（第</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条関係）</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・全改、令３条例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・旧別表第５繰下）</w:t>
      </w:r>
    </w:p>
    <w:tbl>
      <w:tblPr>
        <w:tblW w:w="0" w:type="auto"/>
        <w:tblInd w:w="5" w:type="dxa"/>
        <w:tblLayout w:type="fixed"/>
        <w:tblCellMar>
          <w:left w:w="0" w:type="dxa"/>
          <w:right w:w="0" w:type="dxa"/>
        </w:tblCellMar>
        <w:tblLook w:val="0000" w:firstRow="0" w:lastRow="0" w:firstColumn="0" w:lastColumn="0" w:noHBand="0" w:noVBand="0"/>
      </w:tblPr>
      <w:tblGrid>
        <w:gridCol w:w="5351"/>
        <w:gridCol w:w="3719"/>
      </w:tblGrid>
      <w:tr w:rsidR="00000000">
        <w:tblPrEx>
          <w:tblCellMar>
            <w:top w:w="0" w:type="dxa"/>
            <w:left w:w="0" w:type="dxa"/>
            <w:bottom w:w="0" w:type="dxa"/>
            <w:right w:w="0" w:type="dxa"/>
          </w:tblCellMar>
        </w:tblPrEx>
        <w:tc>
          <w:tcPr>
            <w:tcW w:w="5351" w:type="dxa"/>
            <w:tcBorders>
              <w:top w:val="single" w:sz="4" w:space="0" w:color="000000"/>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特別支援学校</w:t>
            </w:r>
          </w:p>
        </w:tc>
        <w:tc>
          <w:tcPr>
            <w:tcW w:w="3719" w:type="dxa"/>
            <w:tcBorders>
              <w:top w:val="single" w:sz="4" w:space="0" w:color="000000"/>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病院</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劇場、観覧場、映画館又は演芸場</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集会場又は公会堂</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百貨店、マーケットその他の物品販売業を営む店舗</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保健所、税務署その他の不特定かつ多数の者が利用する官公署</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公共体育館等</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博物館、美術館又は図書館</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郵便局又は銀行</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ターミナル</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全て</w:t>
            </w:r>
          </w:p>
        </w:tc>
      </w:tr>
    </w:tbl>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別表第７（第</w:t>
      </w:r>
      <w:r>
        <w:rPr>
          <w:rFonts w:ascii="ＭＳ ゴシック" w:eastAsia="ＭＳ ゴシック" w:hAnsi="ＭＳ ゴシック" w:cs="ＭＳ ゴシック"/>
          <w:color w:val="000000"/>
          <w:kern w:val="0"/>
          <w:sz w:val="22"/>
        </w:rPr>
        <w:t>19</w:t>
      </w:r>
      <w:r>
        <w:rPr>
          <w:rFonts w:ascii="ＭＳ ゴシック" w:eastAsia="ＭＳ ゴシック" w:hAnsi="ＭＳ ゴシック" w:cs="ＭＳ ゴシック" w:hint="eastAsia"/>
          <w:color w:val="000000"/>
          <w:kern w:val="0"/>
          <w:sz w:val="22"/>
        </w:rPr>
        <w:t>条関係）</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・全改、令３条例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・旧別表第６繰下）</w:t>
      </w:r>
    </w:p>
    <w:tbl>
      <w:tblPr>
        <w:tblW w:w="0" w:type="auto"/>
        <w:tblInd w:w="5" w:type="dxa"/>
        <w:tblLayout w:type="fixed"/>
        <w:tblCellMar>
          <w:left w:w="0" w:type="dxa"/>
          <w:right w:w="0" w:type="dxa"/>
        </w:tblCellMar>
        <w:tblLook w:val="0000" w:firstRow="0" w:lastRow="0" w:firstColumn="0" w:lastColumn="0" w:noHBand="0" w:noVBand="0"/>
      </w:tblPr>
      <w:tblGrid>
        <w:gridCol w:w="5351"/>
        <w:gridCol w:w="3719"/>
      </w:tblGrid>
      <w:tr w:rsidR="00000000">
        <w:tblPrEx>
          <w:tblCellMar>
            <w:top w:w="0" w:type="dxa"/>
            <w:left w:w="0" w:type="dxa"/>
            <w:bottom w:w="0" w:type="dxa"/>
            <w:right w:w="0" w:type="dxa"/>
          </w:tblCellMar>
        </w:tblPrEx>
        <w:tc>
          <w:tcPr>
            <w:tcW w:w="5351" w:type="dxa"/>
            <w:tcBorders>
              <w:top w:val="single" w:sz="4" w:space="0" w:color="000000"/>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病院</w:t>
            </w:r>
          </w:p>
        </w:tc>
        <w:tc>
          <w:tcPr>
            <w:tcW w:w="3719" w:type="dxa"/>
            <w:tcBorders>
              <w:top w:val="single" w:sz="4" w:space="0" w:color="000000"/>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w:t>
            </w:r>
            <w:r>
              <w:rPr>
                <w:rFonts w:ascii="ＭＳ ゴシック" w:eastAsia="ＭＳ ゴシック" w:hAnsi="ＭＳ ゴシック" w:cs="ＭＳ ゴシック" w:hint="eastAsia"/>
                <w:color w:val="000000"/>
                <w:kern w:val="0"/>
                <w:sz w:val="22"/>
              </w:rPr>
              <w:t>積の合計</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劇場、観覧場、映画館又は演芸場</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集会場又は公会堂</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百貨店、マーケットその他の物品販売業を営む店舗</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ホテル（宿泊者以外の利用がある場合に限る。）</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5,000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保健所、税務署その他の不特定かつ多数の者が利用する官公署</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公共体育館等若しくはボーリング場又は遊技場</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w:t>
            </w:r>
            <w:r>
              <w:rPr>
                <w:rFonts w:ascii="ＭＳ ゴシック" w:eastAsia="ＭＳ ゴシック" w:hAnsi="ＭＳ ゴシック" w:cs="ＭＳ ゴシック" w:hint="eastAsia"/>
                <w:color w:val="000000"/>
                <w:kern w:val="0"/>
                <w:sz w:val="22"/>
              </w:rPr>
              <w:t>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博物館、美術館又は図書館</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1,000</w:t>
            </w:r>
            <w:r>
              <w:rPr>
                <w:rFonts w:ascii="ＭＳ ゴシック" w:eastAsia="ＭＳ ゴシック" w:hAnsi="ＭＳ ゴシック" w:cs="ＭＳ ゴシック" w:hint="eastAsia"/>
                <w:color w:val="000000"/>
                <w:kern w:val="0"/>
                <w:sz w:val="22"/>
              </w:rPr>
              <w:t>平方メートル以上</w:t>
            </w:r>
          </w:p>
        </w:tc>
      </w:tr>
      <w:tr w:rsidR="00000000">
        <w:tblPrEx>
          <w:tblCellMar>
            <w:top w:w="0" w:type="dxa"/>
            <w:left w:w="0" w:type="dxa"/>
            <w:bottom w:w="0" w:type="dxa"/>
            <w:right w:w="0" w:type="dxa"/>
          </w:tblCellMar>
        </w:tblPrEx>
        <w:tc>
          <w:tcPr>
            <w:tcW w:w="5351" w:type="dxa"/>
            <w:tcBorders>
              <w:top w:val="nil"/>
              <w:left w:val="single" w:sz="4" w:space="0" w:color="000000"/>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ターミナル</w:t>
            </w:r>
          </w:p>
        </w:tc>
        <w:tc>
          <w:tcPr>
            <w:tcW w:w="3719" w:type="dxa"/>
            <w:tcBorders>
              <w:top w:val="nil"/>
              <w:left w:val="nil"/>
              <w:bottom w:val="single" w:sz="4" w:space="0" w:color="000000"/>
              <w:right w:val="single" w:sz="4" w:space="0" w:color="000000"/>
            </w:tcBorders>
          </w:tcPr>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床面積の合計</w:t>
            </w:r>
            <w:r>
              <w:rPr>
                <w:rFonts w:ascii="ＭＳ ゴシック" w:eastAsia="ＭＳ ゴシック" w:hAnsi="ＭＳ ゴシック" w:cs="ＭＳ ゴシック"/>
                <w:color w:val="000000"/>
                <w:kern w:val="0"/>
                <w:sz w:val="22"/>
              </w:rPr>
              <w:t>100</w:t>
            </w:r>
            <w:r>
              <w:rPr>
                <w:rFonts w:ascii="ＭＳ ゴシック" w:eastAsia="ＭＳ ゴシック" w:hAnsi="ＭＳ ゴシック" w:cs="ＭＳ ゴシック" w:hint="eastAsia"/>
                <w:color w:val="000000"/>
                <w:kern w:val="0"/>
                <w:sz w:val="22"/>
              </w:rPr>
              <w:t>平方メートル以上</w:t>
            </w:r>
          </w:p>
        </w:tc>
      </w:tr>
    </w:tbl>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別表第８（第</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条関係）</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・旧別表第７繰下）</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当該準移動等円滑化経路上に階段又は段を設けないこと。ただし、傾斜路又はエレベーターその他の昇降機を併設する場合は、この限りでない。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当該準移動等円滑化経路を構成する出入口は、次に掲げるものであること。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幅は、</w:t>
      </w:r>
      <w:r>
        <w:rPr>
          <w:rFonts w:ascii="ＭＳ ゴシック" w:eastAsia="ＭＳ ゴシック" w:hAnsi="ＭＳ ゴシック" w:cs="ＭＳ ゴシック"/>
          <w:color w:val="000000"/>
          <w:kern w:val="0"/>
          <w:sz w:val="22"/>
        </w:rPr>
        <w:t>80</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戸を設ける場合には、自動的に開閉する構造その他の車いす</w:t>
      </w:r>
      <w:r>
        <w:rPr>
          <w:rFonts w:ascii="ＭＳ ゴシック" w:eastAsia="ＭＳ ゴシック" w:hAnsi="ＭＳ ゴシック" w:cs="ＭＳ ゴシック" w:hint="eastAsia"/>
          <w:color w:val="000000"/>
          <w:kern w:val="0"/>
          <w:sz w:val="22"/>
        </w:rPr>
        <w:t>使用者が容易に開閉して通過できる構造とし、かつ、その前後に高低差がないこと。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出入りの際における降雨及び降雪の影響を少なくできるひさし又は屋根を設けること。ただし、次のいずれかに該当する場合は、この限りでない。</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当該出入口がアーケードその他の降雨及び降雪の影響の少ない場所に面する場合</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増築等の場合において、当該出入口は改修されず、かつ、敷地境界線に接しているとき。</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当該準移動等円滑化経路を構成する廊下等は、次に掲げるものであること。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表面は、粗面とし、又は滑りにくい材料で仕上げる</w:t>
      </w:r>
      <w:r>
        <w:rPr>
          <w:rFonts w:ascii="ＭＳ ゴシック" w:eastAsia="ＭＳ ゴシック" w:hAnsi="ＭＳ ゴシック" w:cs="ＭＳ ゴシック" w:hint="eastAsia"/>
          <w:color w:val="000000"/>
          <w:kern w:val="0"/>
          <w:sz w:val="22"/>
        </w:rPr>
        <w:t>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幅は、</w:t>
      </w:r>
      <w:r>
        <w:rPr>
          <w:rFonts w:ascii="ＭＳ ゴシック" w:eastAsia="ＭＳ ゴシック" w:hAnsi="ＭＳ ゴシック" w:cs="ＭＳ ゴシック"/>
          <w:color w:val="000000"/>
          <w:kern w:val="0"/>
          <w:sz w:val="22"/>
        </w:rPr>
        <w:t>120</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color w:val="000000"/>
          <w:kern w:val="0"/>
          <w:sz w:val="22"/>
        </w:rPr>
        <w:t>50</w:t>
      </w:r>
      <w:r>
        <w:rPr>
          <w:rFonts w:ascii="ＭＳ ゴシック" w:eastAsia="ＭＳ ゴシック" w:hAnsi="ＭＳ ゴシック" w:cs="ＭＳ ゴシック" w:hint="eastAsia"/>
          <w:color w:val="000000"/>
          <w:kern w:val="0"/>
          <w:sz w:val="22"/>
        </w:rPr>
        <w:t>メートル以内ごとに車いすの転回に支障がない場所を設けること。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戸を設ける場合には、自動的に開閉する構造その他の車いす使用者が容易に開閉して通過できる構造とし、かつ、その前後に高低差がないこと。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末端付近は、車いすの転回に支障のない構造とすること。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当該準移動等円滑化経路を構成する傾斜路（階段に代わり、又はこれに併設するものに限る。）は、次に掲げるものであること。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勾配が</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分の１を超え、又は高さが</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センチメ</w:t>
      </w:r>
      <w:r>
        <w:rPr>
          <w:rFonts w:ascii="ＭＳ ゴシック" w:eastAsia="ＭＳ ゴシック" w:hAnsi="ＭＳ ゴシック" w:cs="ＭＳ ゴシック" w:hint="eastAsia"/>
          <w:color w:val="000000"/>
          <w:kern w:val="0"/>
          <w:sz w:val="22"/>
        </w:rPr>
        <w:t>ートルを超える傾斜がある部分には、手すりを設けること。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表面は、粗面とし、又は滑りにくい材料で仕上げること。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その前後の廊下等との色の明度、色相又は彩度の差が大きいことによりその存在を容易に識別できるものとすること。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幅は、階段に代わるものにあっては</w:t>
      </w:r>
      <w:r>
        <w:rPr>
          <w:rFonts w:ascii="ＭＳ ゴシック" w:eastAsia="ＭＳ ゴシック" w:hAnsi="ＭＳ ゴシック" w:cs="ＭＳ ゴシック"/>
          <w:color w:val="000000"/>
          <w:kern w:val="0"/>
          <w:sz w:val="22"/>
        </w:rPr>
        <w:t>120</w:t>
      </w:r>
      <w:r>
        <w:rPr>
          <w:rFonts w:ascii="ＭＳ ゴシック" w:eastAsia="ＭＳ ゴシック" w:hAnsi="ＭＳ ゴシック" w:cs="ＭＳ ゴシック" w:hint="eastAsia"/>
          <w:color w:val="000000"/>
          <w:kern w:val="0"/>
          <w:sz w:val="22"/>
        </w:rPr>
        <w:t>センチメートル以上、階段に併設するものにあっては</w:t>
      </w:r>
      <w:r>
        <w:rPr>
          <w:rFonts w:ascii="ＭＳ ゴシック" w:eastAsia="ＭＳ ゴシック" w:hAnsi="ＭＳ ゴシック" w:cs="ＭＳ ゴシック"/>
          <w:color w:val="000000"/>
          <w:kern w:val="0"/>
          <w:sz w:val="22"/>
        </w:rPr>
        <w:t>90</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勾配は、</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分の１を超えないこと。ただし、高さが</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センチメートル以下のものにあっては、８分の１を超えないこと。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高さが</w:t>
      </w:r>
      <w:r>
        <w:rPr>
          <w:rFonts w:ascii="ＭＳ ゴシック" w:eastAsia="ＭＳ ゴシック" w:hAnsi="ＭＳ ゴシック" w:cs="ＭＳ ゴシック"/>
          <w:color w:val="000000"/>
          <w:kern w:val="0"/>
          <w:sz w:val="22"/>
        </w:rPr>
        <w:t>75</w:t>
      </w:r>
      <w:r>
        <w:rPr>
          <w:rFonts w:ascii="ＭＳ ゴシック" w:eastAsia="ＭＳ ゴシック" w:hAnsi="ＭＳ ゴシック" w:cs="ＭＳ ゴシック" w:hint="eastAsia"/>
          <w:color w:val="000000"/>
          <w:kern w:val="0"/>
          <w:sz w:val="22"/>
        </w:rPr>
        <w:t>センチメ</w:t>
      </w:r>
      <w:r>
        <w:rPr>
          <w:rFonts w:ascii="ＭＳ ゴシック" w:eastAsia="ＭＳ ゴシック" w:hAnsi="ＭＳ ゴシック" w:cs="ＭＳ ゴシック" w:hint="eastAsia"/>
          <w:color w:val="000000"/>
          <w:kern w:val="0"/>
          <w:sz w:val="22"/>
        </w:rPr>
        <w:t>ートルを超えるものにあっては、高さ</w:t>
      </w:r>
      <w:r>
        <w:rPr>
          <w:rFonts w:ascii="ＭＳ ゴシック" w:eastAsia="ＭＳ ゴシック" w:hAnsi="ＭＳ ゴシック" w:cs="ＭＳ ゴシック"/>
          <w:color w:val="000000"/>
          <w:kern w:val="0"/>
          <w:sz w:val="22"/>
        </w:rPr>
        <w:t>75</w:t>
      </w:r>
      <w:r>
        <w:rPr>
          <w:rFonts w:ascii="ＭＳ ゴシック" w:eastAsia="ＭＳ ゴシック" w:hAnsi="ＭＳ ゴシック" w:cs="ＭＳ ゴシック" w:hint="eastAsia"/>
          <w:color w:val="000000"/>
          <w:kern w:val="0"/>
          <w:sz w:val="22"/>
        </w:rPr>
        <w:t>センチメートル以内ごとに踏幅が</w:t>
      </w:r>
      <w:r>
        <w:rPr>
          <w:rFonts w:ascii="ＭＳ ゴシック" w:eastAsia="ＭＳ ゴシック" w:hAnsi="ＭＳ ゴシック" w:cs="ＭＳ ゴシック"/>
          <w:color w:val="000000"/>
          <w:kern w:val="0"/>
          <w:sz w:val="22"/>
        </w:rPr>
        <w:t>150</w:t>
      </w:r>
      <w:r>
        <w:rPr>
          <w:rFonts w:ascii="ＭＳ ゴシック" w:eastAsia="ＭＳ ゴシック" w:hAnsi="ＭＳ ゴシック" w:cs="ＭＳ ゴシック" w:hint="eastAsia"/>
          <w:color w:val="000000"/>
          <w:kern w:val="0"/>
          <w:sz w:val="22"/>
        </w:rPr>
        <w:t>センチメートル以上の踊場を設けること。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　当該準移動等円滑化経路（床面積の合計が</w:t>
      </w:r>
      <w:r>
        <w:rPr>
          <w:rFonts w:ascii="ＭＳ ゴシック" w:eastAsia="ＭＳ ゴシック" w:hAnsi="ＭＳ ゴシック" w:cs="ＭＳ ゴシック"/>
          <w:color w:val="000000"/>
          <w:kern w:val="0"/>
          <w:sz w:val="22"/>
        </w:rPr>
        <w:t>2,000</w:t>
      </w:r>
      <w:r>
        <w:rPr>
          <w:rFonts w:ascii="ＭＳ ゴシック" w:eastAsia="ＭＳ ゴシック" w:hAnsi="ＭＳ ゴシック" w:cs="ＭＳ ゴシック" w:hint="eastAsia"/>
          <w:color w:val="000000"/>
          <w:kern w:val="0"/>
          <w:sz w:val="22"/>
        </w:rPr>
        <w:t>平方メートル以上の建築物に係るものに限る。）を構成するエレベーター（６に規定するものを除く。）及びその乗降ロビーは、次に掲げるものであること。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かごは、住戸、利用居室、車いす使用者用便房又は車いす使用者用駐車施設がある階及び地上階に停止すること。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かご及び昇降路の出入口の幅は、</w:t>
      </w:r>
      <w:r>
        <w:rPr>
          <w:rFonts w:ascii="ＭＳ ゴシック" w:eastAsia="ＭＳ ゴシック" w:hAnsi="ＭＳ ゴシック" w:cs="ＭＳ ゴシック"/>
          <w:color w:val="000000"/>
          <w:kern w:val="0"/>
          <w:sz w:val="22"/>
        </w:rPr>
        <w:t>80</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かごの奥</w:t>
      </w:r>
      <w:r>
        <w:rPr>
          <w:rFonts w:ascii="ＭＳ ゴシック" w:eastAsia="ＭＳ ゴシック" w:hAnsi="ＭＳ ゴシック" w:cs="ＭＳ ゴシック" w:hint="eastAsia"/>
          <w:color w:val="000000"/>
          <w:kern w:val="0"/>
          <w:sz w:val="22"/>
        </w:rPr>
        <w:t>行きは、</w:t>
      </w:r>
      <w:r>
        <w:rPr>
          <w:rFonts w:ascii="ＭＳ ゴシック" w:eastAsia="ＭＳ ゴシック" w:hAnsi="ＭＳ ゴシック" w:cs="ＭＳ ゴシック"/>
          <w:color w:val="000000"/>
          <w:kern w:val="0"/>
          <w:sz w:val="22"/>
        </w:rPr>
        <w:t>135</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乗降ロビーは、高低差がないものとし、その幅及び奥行きは、</w:t>
      </w:r>
      <w:r>
        <w:rPr>
          <w:rFonts w:ascii="ＭＳ ゴシック" w:eastAsia="ＭＳ ゴシック" w:hAnsi="ＭＳ ゴシック" w:cs="ＭＳ ゴシック"/>
          <w:color w:val="000000"/>
          <w:kern w:val="0"/>
          <w:sz w:val="22"/>
        </w:rPr>
        <w:t>150</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かご内及び乗降ロビーには、車いす使用者が利用しやすい位置に制御装置を設けること。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かご内に、かごが停止する予定の階及びかごの現在位置を表示する装置を設けること。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７</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乗降ロビーに、到着するかごの昇降方向を表示する装置を設けること。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８</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不特定かつ多数の者が利用し、又は主として視覚障害者が利用するエレベーター及び乗降ロビーにあっては、</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から</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７</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までに定めるもののほか、次に掲げるものであること。ただし、視覚障害者の利用上支障がないものとして知事が定める場合は、この限りでない。</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かご内に、かごが到着する階並びにかご及び昇降路の出入口の戸の閉鎖を音声により知らせる装置を設けること。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かご内及び乗降ロビーに設ける制御装置（車いす使用者が利用しやすい位置及びその他の位置に制御装置を設ける場合にあっては、当該その他の位置に設けるものに限る。）は、点字その他知事が定める方法により視覚障害者が円滑に操作することができる構造とす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ウ　かご</w:t>
      </w:r>
      <w:r>
        <w:rPr>
          <w:rFonts w:ascii="ＭＳ ゴシック" w:eastAsia="ＭＳ ゴシック" w:hAnsi="ＭＳ ゴシック" w:cs="ＭＳ ゴシック" w:hint="eastAsia"/>
          <w:color w:val="000000"/>
          <w:kern w:val="0"/>
          <w:sz w:val="22"/>
        </w:rPr>
        <w:t>内又は乗降ロビーに、到着するかごの昇降方向を音声により知らせる装置を設けること。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９</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かご内に、戸の開閉状態を確認することができる鏡を設けること。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 xml:space="preserve">　かごの出入口には、利用者を感知し、戸の開閉を自動的に制止する装置を設けること。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(11)</w:t>
      </w:r>
      <w:r>
        <w:rPr>
          <w:rFonts w:ascii="ＭＳ ゴシック" w:eastAsia="ＭＳ ゴシック" w:hAnsi="ＭＳ ゴシック" w:cs="ＭＳ ゴシック" w:hint="eastAsia"/>
          <w:color w:val="000000"/>
          <w:kern w:val="0"/>
          <w:sz w:val="22"/>
        </w:rPr>
        <w:t xml:space="preserve">　かご内に、手すりを設けること。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６　当該準移動等円滑化経路を構成する知事が定める特殊な構造又は使用形態のエレベーターその他の昇降機は、車いす使用者が円滑に利用することができるものとして知事が定める構造とすること。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７　当該準移動等円滑化経路を構成する敷地内の通</w:t>
      </w:r>
      <w:r>
        <w:rPr>
          <w:rFonts w:ascii="ＭＳ ゴシック" w:eastAsia="ＭＳ ゴシック" w:hAnsi="ＭＳ ゴシック" w:cs="ＭＳ ゴシック" w:hint="eastAsia"/>
          <w:color w:val="000000"/>
          <w:kern w:val="0"/>
          <w:sz w:val="22"/>
        </w:rPr>
        <w:t>路は、次に掲げるものであること。ただし、地形の特殊性により当該通路を次に掲げるものとすることが困難な場合においては、当該通路のうち車寄せから各住戸までの部分が次に掲げるものであれば足りる。</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表面は、粗面とし、又は滑りにくい材料で仕上げること。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段がある部分は、次に掲げるものであること。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手すりを設けること。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踏面の端部とその周囲の部分との色の明度、色相又は彩度の差が大きいことにより段を容易に識別できるものとすること。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ウ　段鼻の突き出しその他のつまずきの原因となるものを設けない構造と</w:t>
      </w:r>
      <w:r>
        <w:rPr>
          <w:rFonts w:ascii="ＭＳ ゴシック" w:eastAsia="ＭＳ ゴシック" w:hAnsi="ＭＳ ゴシック" w:cs="ＭＳ ゴシック" w:hint="eastAsia"/>
          <w:color w:val="000000"/>
          <w:kern w:val="0"/>
          <w:sz w:val="22"/>
        </w:rPr>
        <w:t>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傾斜路は、次に掲げるものであること。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勾配が</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分の１を超え、又は高さが</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センチメートルを超え、かつ、勾配が</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分の１を超える傾斜がある部分には、手すりを設けること。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その前後の通路との色の明度、色相又は彩度の差が大きいことによりその存在を容易に識別できるものとすること。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ウ　幅は、段に代わるものにあっては</w:t>
      </w:r>
      <w:r>
        <w:rPr>
          <w:rFonts w:ascii="ＭＳ ゴシック" w:eastAsia="ＭＳ ゴシック" w:hAnsi="ＭＳ ゴシック" w:cs="ＭＳ ゴシック"/>
          <w:color w:val="000000"/>
          <w:kern w:val="0"/>
          <w:sz w:val="22"/>
        </w:rPr>
        <w:t>120</w:t>
      </w:r>
      <w:r>
        <w:rPr>
          <w:rFonts w:ascii="ＭＳ ゴシック" w:eastAsia="ＭＳ ゴシック" w:hAnsi="ＭＳ ゴシック" w:cs="ＭＳ ゴシック" w:hint="eastAsia"/>
          <w:color w:val="000000"/>
          <w:kern w:val="0"/>
          <w:sz w:val="22"/>
        </w:rPr>
        <w:t>センチメートル以上、段に併設するものにあっては</w:t>
      </w:r>
      <w:r>
        <w:rPr>
          <w:rFonts w:ascii="ＭＳ ゴシック" w:eastAsia="ＭＳ ゴシック" w:hAnsi="ＭＳ ゴシック" w:cs="ＭＳ ゴシック"/>
          <w:color w:val="000000"/>
          <w:kern w:val="0"/>
          <w:sz w:val="22"/>
        </w:rPr>
        <w:t>90</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エ　勾配は、</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分の１を超えないこと。ただし、高さが</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センチメートル以下のものにあっ</w:t>
      </w:r>
      <w:r>
        <w:rPr>
          <w:rFonts w:ascii="ＭＳ ゴシック" w:eastAsia="ＭＳ ゴシック" w:hAnsi="ＭＳ ゴシック" w:cs="ＭＳ ゴシック" w:hint="eastAsia"/>
          <w:color w:val="000000"/>
          <w:kern w:val="0"/>
          <w:sz w:val="22"/>
        </w:rPr>
        <w:t>ては、８分の１を超えないこと。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オ　高さが</w:t>
      </w:r>
      <w:r>
        <w:rPr>
          <w:rFonts w:ascii="ＭＳ ゴシック" w:eastAsia="ＭＳ ゴシック" w:hAnsi="ＭＳ ゴシック" w:cs="ＭＳ ゴシック"/>
          <w:color w:val="000000"/>
          <w:kern w:val="0"/>
          <w:sz w:val="22"/>
        </w:rPr>
        <w:t>75</w:t>
      </w:r>
      <w:r>
        <w:rPr>
          <w:rFonts w:ascii="ＭＳ ゴシック" w:eastAsia="ＭＳ ゴシック" w:hAnsi="ＭＳ ゴシック" w:cs="ＭＳ ゴシック" w:hint="eastAsia"/>
          <w:color w:val="000000"/>
          <w:kern w:val="0"/>
          <w:sz w:val="22"/>
        </w:rPr>
        <w:t>センチメートルを超えるもの（勾配が</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分の１を超えるものに限る。）にあっては、高さ</w:t>
      </w:r>
      <w:r>
        <w:rPr>
          <w:rFonts w:ascii="ＭＳ ゴシック" w:eastAsia="ＭＳ ゴシック" w:hAnsi="ＭＳ ゴシック" w:cs="ＭＳ ゴシック"/>
          <w:color w:val="000000"/>
          <w:kern w:val="0"/>
          <w:sz w:val="22"/>
        </w:rPr>
        <w:t>75</w:t>
      </w:r>
      <w:r>
        <w:rPr>
          <w:rFonts w:ascii="ＭＳ ゴシック" w:eastAsia="ＭＳ ゴシック" w:hAnsi="ＭＳ ゴシック" w:cs="ＭＳ ゴシック" w:hint="eastAsia"/>
          <w:color w:val="000000"/>
          <w:kern w:val="0"/>
          <w:sz w:val="22"/>
        </w:rPr>
        <w:t>センチメートル以内ごとに踏幅が</w:t>
      </w:r>
      <w:r>
        <w:rPr>
          <w:rFonts w:ascii="ＭＳ ゴシック" w:eastAsia="ＭＳ ゴシック" w:hAnsi="ＭＳ ゴシック" w:cs="ＭＳ ゴシック"/>
          <w:color w:val="000000"/>
          <w:kern w:val="0"/>
          <w:sz w:val="22"/>
        </w:rPr>
        <w:t>150</w:t>
      </w:r>
      <w:r>
        <w:rPr>
          <w:rFonts w:ascii="ＭＳ ゴシック" w:eastAsia="ＭＳ ゴシック" w:hAnsi="ＭＳ ゴシック" w:cs="ＭＳ ゴシック" w:hint="eastAsia"/>
          <w:color w:val="000000"/>
          <w:kern w:val="0"/>
          <w:sz w:val="22"/>
        </w:rPr>
        <w:t>センチメートル以上の踊場を設けること。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color w:val="000000"/>
          <w:kern w:val="0"/>
          <w:sz w:val="22"/>
        </w:rPr>
        <w:t>50</w:t>
      </w:r>
      <w:r>
        <w:rPr>
          <w:rFonts w:ascii="ＭＳ ゴシック" w:eastAsia="ＭＳ ゴシック" w:hAnsi="ＭＳ ゴシック" w:cs="ＭＳ ゴシック" w:hint="eastAsia"/>
          <w:color w:val="000000"/>
          <w:kern w:val="0"/>
          <w:sz w:val="22"/>
        </w:rPr>
        <w:t>メートル以内ごとに車いすの転回に支障がない場所を設けること。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戸を設ける場合には、自動的に開閉する構造その他の車いす使用者が容易に開閉して通過できる構造とし、かつ、その前後に高低差がないこと。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当該通路を縦断し、又は横断する排水溝等を設ける場合においては、当該排水溝等に、つえ</w:t>
      </w:r>
      <w:r>
        <w:rPr>
          <w:rFonts w:ascii="ＭＳ ゴシック" w:eastAsia="ＭＳ ゴシック" w:hAnsi="ＭＳ ゴシック" w:cs="ＭＳ ゴシック" w:hint="eastAsia"/>
          <w:color w:val="000000"/>
          <w:kern w:val="0"/>
          <w:sz w:val="22"/>
        </w:rPr>
        <w:t>、車いすの車輪等が落ちない構造のふたを設けること。</w:t>
      </w:r>
    </w:p>
    <w:p w:rsidR="00000000" w:rsidRDefault="000D134D">
      <w:pPr>
        <w:autoSpaceDE w:val="0"/>
        <w:autoSpaceDN w:val="0"/>
        <w:adjustRightInd w:val="0"/>
        <w:spacing w:line="440" w:lineRule="atLeast"/>
        <w:ind w:left="22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別表第９（第</w:t>
      </w:r>
      <w:r>
        <w:rPr>
          <w:rFonts w:ascii="ＭＳ ゴシック" w:eastAsia="ＭＳ ゴシック" w:hAnsi="ＭＳ ゴシック" w:cs="ＭＳ ゴシック"/>
          <w:color w:val="000000"/>
          <w:kern w:val="0"/>
          <w:sz w:val="22"/>
        </w:rPr>
        <w:t>21</w:t>
      </w:r>
      <w:r>
        <w:rPr>
          <w:rFonts w:ascii="ＭＳ ゴシック" w:eastAsia="ＭＳ ゴシック" w:hAnsi="ＭＳ ゴシック" w:cs="ＭＳ ゴシック" w:hint="eastAsia"/>
          <w:color w:val="000000"/>
          <w:kern w:val="0"/>
          <w:sz w:val="22"/>
        </w:rPr>
        <w:t>条関係）</w:t>
      </w:r>
    </w:p>
    <w:p w:rsidR="00000000" w:rsidRDefault="000D134D">
      <w:pPr>
        <w:autoSpaceDE w:val="0"/>
        <w:autoSpaceDN w:val="0"/>
        <w:adjustRightInd w:val="0"/>
        <w:spacing w:line="440" w:lineRule="atLeast"/>
        <w:ind w:left="88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（平</w:t>
      </w:r>
      <w:r>
        <w:rPr>
          <w:rFonts w:ascii="ＭＳ ゴシック" w:eastAsia="ＭＳ ゴシック" w:hAnsi="ＭＳ ゴシック" w:cs="ＭＳ ゴシック"/>
          <w:color w:val="000000"/>
          <w:kern w:val="0"/>
          <w:sz w:val="22"/>
        </w:rPr>
        <w:t>27</w:t>
      </w:r>
      <w:r>
        <w:rPr>
          <w:rFonts w:ascii="ＭＳ ゴシック" w:eastAsia="ＭＳ ゴシック" w:hAnsi="ＭＳ ゴシック" w:cs="ＭＳ ゴシック" w:hint="eastAsia"/>
          <w:color w:val="000000"/>
          <w:kern w:val="0"/>
          <w:sz w:val="22"/>
        </w:rPr>
        <w:t>条例</w:t>
      </w:r>
      <w:r>
        <w:rPr>
          <w:rFonts w:ascii="ＭＳ ゴシック" w:eastAsia="ＭＳ ゴシック" w:hAnsi="ＭＳ ゴシック" w:cs="ＭＳ ゴシック"/>
          <w:color w:val="000000"/>
          <w:kern w:val="0"/>
          <w:sz w:val="22"/>
        </w:rPr>
        <w:t>55</w:t>
      </w:r>
      <w:r>
        <w:rPr>
          <w:rFonts w:ascii="ＭＳ ゴシック" w:eastAsia="ＭＳ ゴシック" w:hAnsi="ＭＳ ゴシック" w:cs="ＭＳ ゴシック" w:hint="eastAsia"/>
          <w:color w:val="000000"/>
          <w:kern w:val="0"/>
          <w:sz w:val="22"/>
        </w:rPr>
        <w:t>・一部改正、令３条例</w:t>
      </w:r>
      <w:r>
        <w:rPr>
          <w:rFonts w:ascii="ＭＳ ゴシック" w:eastAsia="ＭＳ ゴシック" w:hAnsi="ＭＳ ゴシック" w:cs="ＭＳ ゴシック"/>
          <w:color w:val="000000"/>
          <w:kern w:val="0"/>
          <w:sz w:val="22"/>
        </w:rPr>
        <w:t>31</w:t>
      </w:r>
      <w:r>
        <w:rPr>
          <w:rFonts w:ascii="ＭＳ ゴシック" w:eastAsia="ＭＳ ゴシック" w:hAnsi="ＭＳ ゴシック" w:cs="ＭＳ ゴシック" w:hint="eastAsia"/>
          <w:color w:val="000000"/>
          <w:kern w:val="0"/>
          <w:sz w:val="22"/>
        </w:rPr>
        <w:t>・旧別表第８繰下）</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１　当該準視覚障害者移動等円滑化経路に、視覚障害者の誘導を行うために、線状ブロック等及び点状ブロック等を適切に組み合わせて敷設し、又は音声その他の方法により視覚障害者を誘導する設備を設けること。ただし、進行方向を変更する必要がない風除室内において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２　当該準視覚障害者移動等円滑化経路を構成する廊下等は、次に掲げるものであること。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表面は、粗面と</w:t>
      </w:r>
      <w:r>
        <w:rPr>
          <w:rFonts w:ascii="ＭＳ ゴシック" w:eastAsia="ＭＳ ゴシック" w:hAnsi="ＭＳ ゴシック" w:cs="ＭＳ ゴシック" w:hint="eastAsia"/>
          <w:color w:val="000000"/>
          <w:kern w:val="0"/>
          <w:sz w:val="22"/>
        </w:rPr>
        <w:t>し、又は滑りにくい材料で仕上げること。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階段又は傾斜路（階段に代わり、又はこれに併設するものに限る。）の上端及び下端に近接する廊下等の部分には、視覚障害者に対し段差又は傾斜の存在の警告を行うために、点状ブロック等を敷設すること。ただし、視覚障害者の利用上支障がないものとして知事が定める場合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３　当該準視覚障害者移動等円滑化経路を構成する階段は、次に掲げるものであること。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踊場を除き、手すりを設けること。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表面は、粗面とし、又は滑りにくい材料で仕上げること。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踏面の端部とその周囲の部分との色の明度、色相又は彩度の差が大きいことにより段を容易に識別できるものとすること。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段鼻の突き出しその他のつまずきの原因となるものを設けない構造とすること。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段がある部分の上端及び下端に近接する踊場の部分には、視覚障害者に対し警告を行うために、点状ブロック等を敷設すること。ただし、視覚障害者の利用上支障がないものとして知事が定める場合は、この限りでない。</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主たる階段は、回り階段でないこと。ただし、回り階段以外の階段を設ける空間を確保することが困難であると</w:t>
      </w:r>
      <w:r>
        <w:rPr>
          <w:rFonts w:ascii="ＭＳ ゴシック" w:eastAsia="ＭＳ ゴシック" w:hAnsi="ＭＳ ゴシック" w:cs="ＭＳ ゴシック" w:hint="eastAsia"/>
          <w:color w:val="000000"/>
          <w:kern w:val="0"/>
          <w:sz w:val="22"/>
        </w:rPr>
        <w:t>きは、この限りでない。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４　当該準視覚障害者移動等円滑化経路を構成する傾斜路（階段に代わり、又はこれに併設するものに限る。）は、次に掲げるものであること。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勾配が</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分の１を超え、又は高さが</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センチメートルを超える傾斜がある部分には、手すりを設けること。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表面は、粗面とし、又は滑りにくい材料で仕上げること。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その前後の廊下等との色の明度、色相又は彩度の差が大きいことによりその存在を容易に識別できるものとすること。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傾斜がある部分の上端及び下端に近接する踊場の部分には、視覚障</w:t>
      </w:r>
      <w:r>
        <w:rPr>
          <w:rFonts w:ascii="ＭＳ ゴシック" w:eastAsia="ＭＳ ゴシック" w:hAnsi="ＭＳ ゴシック" w:cs="ＭＳ ゴシック" w:hint="eastAsia"/>
          <w:color w:val="000000"/>
          <w:kern w:val="0"/>
          <w:sz w:val="22"/>
        </w:rPr>
        <w:t>害者に対し警告を行うために、点状ブロック等を敷設すること。ただし、視覚障害者の利用上支障がないものとして知事が定める場合は、この限りでない。</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５　当該準視覚障害者移動等円滑化経路を構成するエレベーター及びその乗降ロビーは、次に掲げるものであること。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かごは、利用居室、車いす使用者用便房又は車いす使用者用駐車施設がある階及び地上階に停止すること。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かご及び昇降路の出入口の幅は、</w:t>
      </w:r>
      <w:r>
        <w:rPr>
          <w:rFonts w:ascii="ＭＳ ゴシック" w:eastAsia="ＭＳ ゴシック" w:hAnsi="ＭＳ ゴシック" w:cs="ＭＳ ゴシック"/>
          <w:color w:val="000000"/>
          <w:kern w:val="0"/>
          <w:sz w:val="22"/>
        </w:rPr>
        <w:t>80</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かごの奥行きは、</w:t>
      </w:r>
      <w:r>
        <w:rPr>
          <w:rFonts w:ascii="ＭＳ ゴシック" w:eastAsia="ＭＳ ゴシック" w:hAnsi="ＭＳ ゴシック" w:cs="ＭＳ ゴシック"/>
          <w:color w:val="000000"/>
          <w:kern w:val="0"/>
          <w:sz w:val="22"/>
        </w:rPr>
        <w:t>135</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４</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乗降ロビーは</w:t>
      </w:r>
      <w:r>
        <w:rPr>
          <w:rFonts w:ascii="ＭＳ ゴシック" w:eastAsia="ＭＳ ゴシック" w:hAnsi="ＭＳ ゴシック" w:cs="ＭＳ ゴシック" w:hint="eastAsia"/>
          <w:color w:val="000000"/>
          <w:kern w:val="0"/>
          <w:sz w:val="22"/>
        </w:rPr>
        <w:t>、高低差がないものとし、その幅及び奥行きは、</w:t>
      </w:r>
      <w:r>
        <w:rPr>
          <w:rFonts w:ascii="ＭＳ ゴシック" w:eastAsia="ＭＳ ゴシック" w:hAnsi="ＭＳ ゴシック" w:cs="ＭＳ ゴシック"/>
          <w:color w:val="000000"/>
          <w:kern w:val="0"/>
          <w:sz w:val="22"/>
        </w:rPr>
        <w:t>150</w:t>
      </w:r>
      <w:r>
        <w:rPr>
          <w:rFonts w:ascii="ＭＳ ゴシック" w:eastAsia="ＭＳ ゴシック" w:hAnsi="ＭＳ ゴシック" w:cs="ＭＳ ゴシック" w:hint="eastAsia"/>
          <w:color w:val="000000"/>
          <w:kern w:val="0"/>
          <w:sz w:val="22"/>
        </w:rPr>
        <w:t>センチメートル以上とすること。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５</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かご内及び乗降ロビーには、車いす使用者が利用しやすい位置に制御装置を設けること。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６</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かご内に、かごが停止する予定の階及びかごの現在位置を表示する装置を設けること。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７</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乗降ロビーに、到着するかごの昇降方向を表示する装置を設けること。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８</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かご内に、かごが到着する階並びにかご及び昇降路の出入口の戸の閉鎖を音声により知らせる装置を設けること。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９</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かご内及び乗降ロビーに設ける制御装置（車いす使用者が利用し</w:t>
      </w:r>
      <w:r>
        <w:rPr>
          <w:rFonts w:ascii="ＭＳ ゴシック" w:eastAsia="ＭＳ ゴシック" w:hAnsi="ＭＳ ゴシック" w:cs="ＭＳ ゴシック" w:hint="eastAsia"/>
          <w:color w:val="000000"/>
          <w:kern w:val="0"/>
          <w:sz w:val="22"/>
        </w:rPr>
        <w:t>やすい位置及びその他の位置に制御装置を設ける場合にあっては、当該その他の位置に設けるものに限る。）は、点字その他知事が定める方法により視覚障害者が円滑に操作することができる構造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(10)</w:t>
      </w:r>
      <w:r>
        <w:rPr>
          <w:rFonts w:ascii="ＭＳ ゴシック" w:eastAsia="ＭＳ ゴシック" w:hAnsi="ＭＳ ゴシック" w:cs="ＭＳ ゴシック" w:hint="eastAsia"/>
          <w:color w:val="000000"/>
          <w:kern w:val="0"/>
          <w:sz w:val="22"/>
        </w:rPr>
        <w:t xml:space="preserve">　かご内又は乗降ロビーに、到着するかごの昇降方向を音声により知らせる装置を設けること。</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６　当該準視覚障害者移動等円滑化経路を構成する敷地内の通路の次に掲げる部分には、視覚障害者に対し警告を行うために、点状ブロック等を敷設すること。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車路に近接する部分</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段がある部分又は傾斜がある部分の上端及び下端</w:t>
      </w:r>
      <w:r>
        <w:rPr>
          <w:rFonts w:ascii="ＭＳ ゴシック" w:eastAsia="ＭＳ ゴシック" w:hAnsi="ＭＳ ゴシック" w:cs="ＭＳ ゴシック" w:hint="eastAsia"/>
          <w:color w:val="000000"/>
          <w:kern w:val="0"/>
          <w:sz w:val="22"/>
        </w:rPr>
        <w:t>に近接する部分（視覚障害者の利用上支障がないものとして知事が定める部分を除く。）</w:t>
      </w:r>
    </w:p>
    <w:p w:rsidR="00000000" w:rsidRDefault="000D134D">
      <w:pPr>
        <w:autoSpaceDE w:val="0"/>
        <w:autoSpaceDN w:val="0"/>
        <w:adjustRightInd w:val="0"/>
        <w:spacing w:line="440" w:lineRule="atLeast"/>
        <w:ind w:left="44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７　当該準視覚障害者移動等円滑化経路を構成する敷地内の通路は、次に掲げるものであること。ただし地形の特殊性により当該通路を次に掲げるものとすることが困難な場合においては、当該通路のうち車寄せから視覚障害者が利用する窓口又は案内所までの部分が、次に掲げるものであれば足りる。</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１</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表面は、粗面とし、又は滑りにくい材料で仕上げること。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２</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段がある部分は、次に掲げるものであること。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手すりを設けること。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踏面の端部と</w:t>
      </w:r>
      <w:r>
        <w:rPr>
          <w:rFonts w:ascii="ＭＳ ゴシック" w:eastAsia="ＭＳ ゴシック" w:hAnsi="ＭＳ ゴシック" w:cs="ＭＳ ゴシック" w:hint="eastAsia"/>
          <w:color w:val="000000"/>
          <w:kern w:val="0"/>
          <w:sz w:val="22"/>
        </w:rPr>
        <w:t>その周囲の部分との色の明度、色相又は彩度の差が大きいことにより段を容易に識別できるものとすること。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ウ　段鼻の突き出しその他のつまずきの原因となるものを設けない構造とすること。</w:t>
      </w:r>
    </w:p>
    <w:p w:rsidR="00000000" w:rsidRDefault="000D134D">
      <w:pPr>
        <w:autoSpaceDE w:val="0"/>
        <w:autoSpaceDN w:val="0"/>
        <w:adjustRightInd w:val="0"/>
        <w:spacing w:line="440" w:lineRule="atLeast"/>
        <w:ind w:left="66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３</w:t>
      </w:r>
      <w:r>
        <w:rPr>
          <w:rFonts w:ascii="ＭＳ ゴシック" w:eastAsia="ＭＳ ゴシック" w:hAnsi="ＭＳ ゴシック" w:cs="ＭＳ ゴシック"/>
          <w:color w:val="000000"/>
          <w:kern w:val="0"/>
          <w:sz w:val="22"/>
        </w:rPr>
        <w:t>)</w:t>
      </w:r>
      <w:r>
        <w:rPr>
          <w:rFonts w:ascii="ＭＳ ゴシック" w:eastAsia="ＭＳ ゴシック" w:hAnsi="ＭＳ ゴシック" w:cs="ＭＳ ゴシック" w:hint="eastAsia"/>
          <w:color w:val="000000"/>
          <w:kern w:val="0"/>
          <w:sz w:val="22"/>
        </w:rPr>
        <w:t xml:space="preserve">　傾斜路は、次に掲げるものであること。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ア　勾配が</w:t>
      </w:r>
      <w:r>
        <w:rPr>
          <w:rFonts w:ascii="ＭＳ ゴシック" w:eastAsia="ＭＳ ゴシック" w:hAnsi="ＭＳ ゴシック" w:cs="ＭＳ ゴシック"/>
          <w:color w:val="000000"/>
          <w:kern w:val="0"/>
          <w:sz w:val="22"/>
        </w:rPr>
        <w:t>12</w:t>
      </w:r>
      <w:r>
        <w:rPr>
          <w:rFonts w:ascii="ＭＳ ゴシック" w:eastAsia="ＭＳ ゴシック" w:hAnsi="ＭＳ ゴシック" w:cs="ＭＳ ゴシック" w:hint="eastAsia"/>
          <w:color w:val="000000"/>
          <w:kern w:val="0"/>
          <w:sz w:val="22"/>
        </w:rPr>
        <w:t>分の１を超え、又は高さが</w:t>
      </w:r>
      <w:r>
        <w:rPr>
          <w:rFonts w:ascii="ＭＳ ゴシック" w:eastAsia="ＭＳ ゴシック" w:hAnsi="ＭＳ ゴシック" w:cs="ＭＳ ゴシック"/>
          <w:color w:val="000000"/>
          <w:kern w:val="0"/>
          <w:sz w:val="22"/>
        </w:rPr>
        <w:t>16</w:t>
      </w:r>
      <w:r>
        <w:rPr>
          <w:rFonts w:ascii="ＭＳ ゴシック" w:eastAsia="ＭＳ ゴシック" w:hAnsi="ＭＳ ゴシック" w:cs="ＭＳ ゴシック" w:hint="eastAsia"/>
          <w:color w:val="000000"/>
          <w:kern w:val="0"/>
          <w:sz w:val="22"/>
        </w:rPr>
        <w:t>センチメートルを超え、かつ、勾配が</w:t>
      </w:r>
      <w:r>
        <w:rPr>
          <w:rFonts w:ascii="ＭＳ ゴシック" w:eastAsia="ＭＳ ゴシック" w:hAnsi="ＭＳ ゴシック" w:cs="ＭＳ ゴシック"/>
          <w:color w:val="000000"/>
          <w:kern w:val="0"/>
          <w:sz w:val="22"/>
        </w:rPr>
        <w:t>20</w:t>
      </w:r>
      <w:r>
        <w:rPr>
          <w:rFonts w:ascii="ＭＳ ゴシック" w:eastAsia="ＭＳ ゴシック" w:hAnsi="ＭＳ ゴシック" w:cs="ＭＳ ゴシック" w:hint="eastAsia"/>
          <w:color w:val="000000"/>
          <w:kern w:val="0"/>
          <w:sz w:val="22"/>
        </w:rPr>
        <w:t>分の１を超える傾斜がある部分には、手すりを設けること。</w:t>
      </w:r>
    </w:p>
    <w:p w:rsidR="00000000" w:rsidRDefault="000D134D">
      <w:pPr>
        <w:autoSpaceDE w:val="0"/>
        <w:autoSpaceDN w:val="0"/>
        <w:adjustRightInd w:val="0"/>
        <w:spacing w:line="440" w:lineRule="atLeast"/>
        <w:ind w:left="880" w:hanging="220"/>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イ　その前後の通路との色の明度、色相又は彩度の差が大きいことによりその存在を容易に識別できるものとすること。</w:t>
      </w:r>
    </w:p>
    <w:p w:rsidR="00000000" w:rsidRDefault="000D134D">
      <w:pPr>
        <w:autoSpaceDE w:val="0"/>
        <w:autoSpaceDN w:val="0"/>
        <w:adjustRightInd w:val="0"/>
        <w:spacing w:line="440" w:lineRule="atLeast"/>
        <w:jc w:val="left"/>
        <w:rPr>
          <w:rFonts w:ascii="ＭＳ ゴシック" w:eastAsia="ＭＳ ゴシック" w:hAnsi="ＭＳ ゴシック" w:cs="ＭＳ ゴシック"/>
          <w:color w:val="000000"/>
          <w:kern w:val="0"/>
          <w:sz w:val="22"/>
        </w:rPr>
      </w:pPr>
      <w:bookmarkStart w:id="1" w:name="last"/>
      <w:bookmarkEnd w:id="1"/>
    </w:p>
    <w:sectPr w:rsidR="00000000">
      <w:footerReference w:type="default" r:id="rId6"/>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134D">
      <w:r>
        <w:separator/>
      </w:r>
    </w:p>
  </w:endnote>
  <w:endnote w:type="continuationSeparator" w:id="0">
    <w:p w:rsidR="00000000" w:rsidRDefault="000D1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D134D">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PAGE</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2</w:t>
    </w:r>
    <w:r>
      <w:rPr>
        <w:rFonts w:ascii="ＭＳ 明朝" w:eastAsia="ＭＳ 明朝" w:hAnsi="ＭＳ 明朝" w:cs="ＭＳ 明朝"/>
        <w:color w:val="000000"/>
        <w:kern w:val="0"/>
        <w:szCs w:val="21"/>
      </w:rPr>
      <w:fldChar w:fldCharType="end"/>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28</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134D">
      <w:r>
        <w:separator/>
      </w:r>
    </w:p>
  </w:footnote>
  <w:footnote w:type="continuationSeparator" w:id="0">
    <w:p w:rsidR="00000000" w:rsidRDefault="000D1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4D"/>
    <w:rsid w:val="000D1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06C6AE-BE57-4B0D-839D-B7243D40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3458</Words>
  <Characters>19712</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史夏</dc:creator>
  <cp:keywords/>
  <dc:description/>
  <cp:lastModifiedBy>太田 史夏</cp:lastModifiedBy>
  <cp:revision>2</cp:revision>
  <dcterms:created xsi:type="dcterms:W3CDTF">2021-10-08T08:30:00Z</dcterms:created>
  <dcterms:modified xsi:type="dcterms:W3CDTF">2021-10-08T08:30:00Z</dcterms:modified>
</cp:coreProperties>
</file>